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03" w:rsidRDefault="001C1803" w:rsidP="00FF42A6">
      <w:pPr>
        <w:spacing w:afterLines="50" w:line="560" w:lineRule="exact"/>
        <w:ind w:firstLineChars="200" w:firstLine="880"/>
        <w:jc w:val="center"/>
        <w:rPr>
          <w:rFonts w:ascii="方正小标宋简体" w:eastAsia="方正小标宋简体" w:cs="Times New Roman"/>
          <w:sz w:val="44"/>
          <w:szCs w:val="44"/>
        </w:rPr>
      </w:pPr>
      <w:r>
        <w:rPr>
          <w:rFonts w:ascii="方正小标宋简体" w:eastAsia="方正小标宋简体" w:hAnsi="宋体" w:cs="Times New Roman" w:hint="eastAsia"/>
          <w:sz w:val="44"/>
          <w:szCs w:val="44"/>
        </w:rPr>
        <w:t>霸州市发展改革局</w:t>
      </w:r>
      <w:r>
        <w:rPr>
          <w:rFonts w:ascii="方正小标宋简体" w:eastAsia="方正小标宋简体" w:hAnsi="宋体" w:cs="Times New Roman"/>
          <w:sz w:val="44"/>
          <w:szCs w:val="44"/>
        </w:rPr>
        <w:t>2017</w:t>
      </w:r>
      <w:r>
        <w:rPr>
          <w:rFonts w:ascii="方正小标宋简体" w:eastAsia="方正小标宋简体" w:hAnsi="宋体" w:cs="Times New Roman" w:hint="eastAsia"/>
          <w:sz w:val="44"/>
          <w:szCs w:val="44"/>
        </w:rPr>
        <w:t>年部门预算信息公开</w:t>
      </w:r>
    </w:p>
    <w:p w:rsidR="001C1803" w:rsidRDefault="001C1803" w:rsidP="00FF42A6">
      <w:pPr>
        <w:spacing w:afterLines="50" w:line="560" w:lineRule="exact"/>
        <w:ind w:firstLineChars="200" w:firstLine="883"/>
        <w:jc w:val="center"/>
        <w:rPr>
          <w:rFonts w:ascii="宋体" w:cs="Times New Roman"/>
          <w:b/>
          <w:sz w:val="44"/>
          <w:szCs w:val="44"/>
        </w:rPr>
      </w:pPr>
    </w:p>
    <w:p w:rsidR="001C1803" w:rsidRDefault="001C1803">
      <w:pPr>
        <w:ind w:firstLineChars="200" w:firstLine="640"/>
        <w:rPr>
          <w:rFonts w:ascii="仿宋" w:eastAsia="仿宋" w:hAnsi="仿宋" w:cs="Times New Roman"/>
          <w:sz w:val="32"/>
          <w:szCs w:val="32"/>
        </w:rPr>
      </w:pPr>
      <w:r>
        <w:rPr>
          <w:rFonts w:ascii="仿宋" w:eastAsia="仿宋" w:hAnsi="仿宋" w:cs="Times New Roman" w:hint="eastAsia"/>
          <w:sz w:val="32"/>
          <w:szCs w:val="32"/>
        </w:rPr>
        <w:t>按照《预算法》、《地方预决算公开操作规程》和《河北省省级预算公开办法》规定，现将霸州市发展改革局</w:t>
      </w:r>
      <w:r>
        <w:rPr>
          <w:rFonts w:ascii="仿宋" w:eastAsia="仿宋" w:hAnsi="仿宋" w:cs="Times New Roman"/>
          <w:sz w:val="32"/>
          <w:szCs w:val="32"/>
        </w:rPr>
        <w:t>2017</w:t>
      </w:r>
      <w:r>
        <w:rPr>
          <w:rFonts w:ascii="仿宋" w:eastAsia="仿宋" w:hAnsi="仿宋" w:cs="Times New Roman" w:hint="eastAsia"/>
          <w:sz w:val="32"/>
          <w:szCs w:val="32"/>
        </w:rPr>
        <w:t>年部门预算公开如下：</w:t>
      </w:r>
    </w:p>
    <w:p w:rsidR="001C1803" w:rsidRDefault="001C1803">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1C1803" w:rsidRDefault="001C1803">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1C1803" w:rsidRDefault="001C1803">
      <w:pPr>
        <w:ind w:firstLineChars="200" w:firstLine="640"/>
        <w:rPr>
          <w:rFonts w:ascii="仿宋" w:eastAsia="仿宋" w:hAnsi="仿宋" w:cs="Times New Roman"/>
          <w:sz w:val="32"/>
          <w:szCs w:val="32"/>
        </w:rPr>
      </w:pPr>
      <w:r>
        <w:rPr>
          <w:rFonts w:ascii="仿宋" w:eastAsia="仿宋" w:hAnsi="仿宋" w:cs="Times New Roman" w:hint="eastAsia"/>
          <w:sz w:val="32"/>
          <w:szCs w:val="32"/>
        </w:rPr>
        <w:t>根据《中共廊坊市委办公室、廊坊市人民政府办公室关于印发</w:t>
      </w:r>
      <w:r>
        <w:rPr>
          <w:rFonts w:ascii="仿宋" w:eastAsia="仿宋" w:hAnsi="仿宋" w:cs="Times New Roman"/>
          <w:sz w:val="32"/>
          <w:szCs w:val="32"/>
        </w:rPr>
        <w:t>&lt;</w:t>
      </w:r>
      <w:r>
        <w:rPr>
          <w:rFonts w:ascii="仿宋" w:eastAsia="仿宋" w:hAnsi="仿宋" w:cs="Times New Roman" w:hint="eastAsia"/>
          <w:sz w:val="32"/>
          <w:szCs w:val="32"/>
        </w:rPr>
        <w:t>霸州市人民政府机构改革方案</w:t>
      </w:r>
      <w:r>
        <w:rPr>
          <w:rFonts w:ascii="仿宋" w:eastAsia="仿宋" w:hAnsi="仿宋" w:cs="Times New Roman"/>
          <w:sz w:val="32"/>
          <w:szCs w:val="32"/>
        </w:rPr>
        <w:t>&gt;</w:t>
      </w:r>
      <w:r>
        <w:rPr>
          <w:rFonts w:ascii="仿宋" w:eastAsia="仿宋" w:hAnsi="仿宋" w:cs="Times New Roman" w:hint="eastAsia"/>
          <w:sz w:val="32"/>
          <w:szCs w:val="32"/>
        </w:rPr>
        <w:t>的通知》（廊办字【</w:t>
      </w:r>
      <w:r>
        <w:rPr>
          <w:rFonts w:ascii="仿宋" w:eastAsia="仿宋" w:hAnsi="仿宋" w:cs="Times New Roman"/>
          <w:sz w:val="32"/>
          <w:szCs w:val="32"/>
        </w:rPr>
        <w:t>2010</w:t>
      </w:r>
      <w:r>
        <w:rPr>
          <w:rFonts w:ascii="仿宋" w:eastAsia="仿宋" w:hAnsi="仿宋" w:cs="Times New Roman" w:hint="eastAsia"/>
          <w:sz w:val="32"/>
          <w:szCs w:val="32"/>
        </w:rPr>
        <w:t>】</w:t>
      </w:r>
      <w:r>
        <w:rPr>
          <w:rFonts w:ascii="仿宋" w:eastAsia="仿宋" w:hAnsi="仿宋" w:cs="Times New Roman"/>
          <w:sz w:val="32"/>
          <w:szCs w:val="32"/>
        </w:rPr>
        <w:t>57</w:t>
      </w:r>
      <w:r>
        <w:rPr>
          <w:rFonts w:ascii="仿宋" w:eastAsia="仿宋" w:hAnsi="仿宋" w:cs="Times New Roman" w:hint="eastAsia"/>
          <w:sz w:val="32"/>
          <w:szCs w:val="32"/>
        </w:rPr>
        <w:t>号）规定，设立霸州市发展改革局，为市政府工作部门。其主要职责是：</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拟定并组织实施全市国民经济和社会发展战略、中长期规划和年度计划，以及基础产业、支柱产业、高技术产业专项发展计划，衔接、平衡各主要行业的行业规划，指导各乡（镇）的发展规划和计划工作；提出全市国民经济发展和优化重大经济结构的目标和政策；对全市国民经济和社会发展年度计划、中长期规划执行情况进行检查并提出调整意见；提出运用各种经济手段和政策的建议；受市人民政府委托向市人大作全市国民经济和社会发展计划报告。</w:t>
      </w:r>
    </w:p>
    <w:p w:rsidR="001C1803" w:rsidRDefault="001C1803">
      <w:pPr>
        <w:ind w:firstLineChars="200" w:firstLine="640"/>
        <w:rPr>
          <w:rFonts w:ascii="仿宋" w:eastAsia="仿宋" w:hAnsi="仿宋" w:cs="Times New Roman"/>
          <w:sz w:val="32"/>
          <w:szCs w:val="32"/>
        </w:rPr>
      </w:pPr>
      <w:r>
        <w:rPr>
          <w:rFonts w:ascii="仿宋" w:eastAsia="仿宋" w:hAnsi="仿宋" w:cs="Times New Roman" w:hint="eastAsia"/>
          <w:sz w:val="32"/>
          <w:szCs w:val="32"/>
        </w:rPr>
        <w:t>经济运行及时调控的政策措施建议。</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监测、分析全市国民经济运行态势，编制并组织实施近期经济运行调控目标和措施，调节国民经济日常运行，组织解决经济运行中的重大问题并向县政府提出意见和建议。负责汇总和分析全市国民经济和社会发展情况，进行宏观经济的预测、预警；参与组织重要经济政策措施的贯彻实施；提出实施全市宏观经济政策及综合运用经济杠杆和对</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提出全市全社会固定资产投资规模和资金投向及相关政策措施建议，衔接平衡各种资金来源，规划重大项目布局；安排市统筹、财政自筹等财政性建设资金和项目，组织协调和申报国家、省、市各项专项资金；编制全市固定资产投资计划并组织实施；按程序和管理权限负责基本建设项目的审批和上报，会签重大技术改造项目；向国家政策性银行和商业银行推荐申贷项目，指导和监督政策性贷款的使用方向，引导民间资金用于固定资产投资。</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贯彻执行国家对外贸易、利用外资、境外投资、国际经济技术合作、商品流通、市场发展的方针、政策和法规，研究提出相应的发展战略、规划、总量平衡、结构优化的目标和政策措施、建议并组织实施；负责各类借用国外贷款项目的计划管理；按权限审批或申报利用国际金融组织和外国政府贷款项目以及境外投资项目；配合财政部门做好全市全口径外债的总量控制、结构优化和监测工作。</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搞好市场预测，提出调控市场、培育和完善市场体系的政策和建议，指导并组织企业开拓市场；监测、分析市场运行和重要商品的供求状况、进出口平衡并组织调控，搞好重要商品的储备计划管理，指导、监督重要商品的国家订货、储备、轮换和投放，引导和调控市场。</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研究拟定全市社会发展战略，做好人口与计划生育、科学技术、教育、文化、卫生、体育等社会事业与整个国民经济的衔接平衡，提出经济与社会协调发展、相互促进的政策，协调各项社会事业发展中的重大问题；做好中央、省、市属在市企事业单位与全县经济社会发展的协调服务工作。</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7</w:t>
      </w:r>
      <w:r>
        <w:rPr>
          <w:rFonts w:ascii="仿宋" w:eastAsia="仿宋" w:hAnsi="仿宋" w:cs="Times New Roman" w:hint="eastAsia"/>
          <w:sz w:val="32"/>
          <w:szCs w:val="32"/>
        </w:rPr>
        <w:t>、负责全市经济体制改革和对外开放调研工作，组织拟定综合性经济体制改革方案；引导和促进全县经济结构合理化和区域经济协调发展；提出完善社会主义市场经济体制、以改革开放促发展的建议，指导和推进全县经济体制改革；拟定投融资体制改革方案并组织实施；负责全市社会信用体系建设相关工作。</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8</w:t>
      </w:r>
      <w:r>
        <w:rPr>
          <w:rFonts w:ascii="仿宋" w:eastAsia="仿宋" w:hAnsi="仿宋" w:cs="Times New Roman" w:hint="eastAsia"/>
          <w:sz w:val="32"/>
          <w:szCs w:val="32"/>
        </w:rPr>
        <w:t>、贯彻实施国家和省、市产业政策，配合有关部门拟定地方性产业结构调整政策措施，监督、检查执行情况；提出重点行业、重点产品调整方案，指导全县产业结构调整；联系工商领域社会中介组织并指导其改革与调整；协调指导乡（镇）经济和非公有制经济发展工作。</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9</w:t>
      </w:r>
      <w:r>
        <w:rPr>
          <w:rFonts w:ascii="仿宋" w:eastAsia="仿宋" w:hAnsi="仿宋" w:cs="Times New Roman" w:hint="eastAsia"/>
          <w:sz w:val="32"/>
          <w:szCs w:val="32"/>
        </w:rPr>
        <w:t>、拟定并组织实施企业改革方案，推进现代企业制度的建立；研究拟定监管企业国有资产的政策措施，对经营性国有资产进行监管；配合有关部门实施再就业工程；对各种经济成份的企业实行宏观管理和指导，规范企业行为规则；指导中小企业的改革与发展；组织协调全市减轻企业负担工作；组织管理企业内部的法律顾问，指导企业管理人员的培训。</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10</w:t>
      </w:r>
      <w:r>
        <w:rPr>
          <w:rFonts w:ascii="仿宋" w:eastAsia="仿宋" w:hAnsi="仿宋" w:cs="Times New Roman" w:hint="eastAsia"/>
          <w:sz w:val="32"/>
          <w:szCs w:val="32"/>
        </w:rPr>
        <w:t>、推进可持续发展战略，负责节能减排的综合协调工作；组织拟订发展循环经济、全社会能源资源节约和综合利用规划及政策措施并协调实施；参与编制生态建设、环境保护规划；协调生态建设、能源资源节约和综合利用的重大问题，综合协调环保产业和清洁生产促进有关工作；组织实施国家和省应对气候变化规划和政策；承担市应对气候变化及节能减排工作领导小组的具体工作；负责冶金矿产资源管理工作。</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11</w:t>
      </w:r>
      <w:r>
        <w:rPr>
          <w:rFonts w:ascii="仿宋" w:eastAsia="仿宋" w:hAnsi="仿宋" w:cs="Times New Roman" w:hint="eastAsia"/>
          <w:sz w:val="32"/>
          <w:szCs w:val="32"/>
        </w:rPr>
        <w:t>、起草国民经济和社会发展、经济体制改革和对外开放的有关地方性政策草案；按规定指导和协调全市招标投标工作。</w:t>
      </w:r>
    </w:p>
    <w:p w:rsidR="001C1803" w:rsidRDefault="001C1803">
      <w:pPr>
        <w:ind w:firstLineChars="200" w:firstLine="640"/>
        <w:rPr>
          <w:rFonts w:ascii="仿宋" w:eastAsia="仿宋" w:hAnsi="仿宋" w:cs="Times New Roman"/>
          <w:sz w:val="32"/>
          <w:szCs w:val="32"/>
        </w:rPr>
      </w:pPr>
      <w:r>
        <w:rPr>
          <w:rFonts w:ascii="仿宋" w:eastAsia="仿宋" w:hAnsi="仿宋" w:cs="Times New Roman"/>
          <w:sz w:val="32"/>
          <w:szCs w:val="32"/>
        </w:rPr>
        <w:t>12</w:t>
      </w:r>
      <w:r>
        <w:rPr>
          <w:rFonts w:ascii="仿宋" w:eastAsia="仿宋" w:hAnsi="仿宋" w:cs="Times New Roman" w:hint="eastAsia"/>
          <w:sz w:val="32"/>
          <w:szCs w:val="32"/>
        </w:rPr>
        <w:t>、贯彻落实省、市推进京津冀协同发展领导小组的有关决策部署，加强协同调度和跟踪督导；研究提出我市与京津冀协同发展的相关政策建议；研究拟定我市推进京津冀协同发展实施意见，负责协调我市相关规划和国家、省规划的衔接；推进产业转移和功能疏散具体对接工作；联合北京市、天津市组织重大招商、引智活动。</w:t>
      </w:r>
    </w:p>
    <w:p w:rsidR="001C1803" w:rsidRDefault="001C1803">
      <w:pPr>
        <w:ind w:firstLineChars="200" w:firstLine="643"/>
        <w:rPr>
          <w:rFonts w:ascii="楷体" w:eastAsia="楷体" w:hAnsi="楷体" w:cs="楷体"/>
          <w:b/>
          <w:sz w:val="32"/>
          <w:szCs w:val="32"/>
        </w:rPr>
      </w:pPr>
      <w:r>
        <w:rPr>
          <w:rFonts w:ascii="楷体" w:eastAsia="楷体" w:hAnsi="楷体" w:cs="楷体" w:hint="eastAsia"/>
          <w:b/>
          <w:sz w:val="32"/>
          <w:szCs w:val="32"/>
        </w:rPr>
        <w:t>机构设置：</w:t>
      </w:r>
    </w:p>
    <w:p w:rsidR="001C1803" w:rsidRDefault="001C1803">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2265"/>
        <w:gridCol w:w="2265"/>
        <w:gridCol w:w="2266"/>
      </w:tblGrid>
      <w:tr w:rsidR="001C1803">
        <w:trPr>
          <w:trHeight w:val="260"/>
          <w:jc w:val="center"/>
        </w:trPr>
        <w:tc>
          <w:tcPr>
            <w:tcW w:w="2265" w:type="dxa"/>
            <w:vAlign w:val="center"/>
          </w:tcPr>
          <w:p w:rsidR="001C1803" w:rsidRDefault="001C1803">
            <w:pPr>
              <w:spacing w:line="300" w:lineRule="exact"/>
              <w:jc w:val="center"/>
              <w:rPr>
                <w:rFonts w:ascii="宋体" w:cs="宋体"/>
                <w:b/>
                <w:szCs w:val="21"/>
              </w:rPr>
            </w:pPr>
            <w:r>
              <w:rPr>
                <w:rFonts w:ascii="宋体" w:hAnsi="宋体" w:cs="宋体" w:hint="eastAsia"/>
                <w:b/>
                <w:szCs w:val="21"/>
              </w:rPr>
              <w:t>单位名称</w:t>
            </w:r>
          </w:p>
        </w:tc>
        <w:tc>
          <w:tcPr>
            <w:tcW w:w="2265" w:type="dxa"/>
            <w:vAlign w:val="center"/>
          </w:tcPr>
          <w:p w:rsidR="001C1803" w:rsidRDefault="001C1803">
            <w:pPr>
              <w:spacing w:line="300" w:lineRule="exact"/>
              <w:jc w:val="center"/>
              <w:rPr>
                <w:rFonts w:ascii="宋体" w:cs="宋体"/>
                <w:b/>
                <w:szCs w:val="21"/>
              </w:rPr>
            </w:pPr>
            <w:r>
              <w:rPr>
                <w:rFonts w:ascii="宋体" w:hAnsi="宋体" w:cs="宋体" w:hint="eastAsia"/>
                <w:b/>
                <w:szCs w:val="21"/>
              </w:rPr>
              <w:t>单位性质</w:t>
            </w:r>
          </w:p>
        </w:tc>
        <w:tc>
          <w:tcPr>
            <w:tcW w:w="2265" w:type="dxa"/>
            <w:vAlign w:val="center"/>
          </w:tcPr>
          <w:p w:rsidR="001C1803" w:rsidRDefault="001C1803">
            <w:pPr>
              <w:spacing w:line="300" w:lineRule="exact"/>
              <w:jc w:val="center"/>
              <w:rPr>
                <w:rFonts w:ascii="宋体" w:cs="宋体"/>
                <w:b/>
                <w:szCs w:val="21"/>
              </w:rPr>
            </w:pPr>
            <w:r>
              <w:rPr>
                <w:rFonts w:ascii="宋体" w:hAnsi="宋体" w:cs="宋体" w:hint="eastAsia"/>
                <w:b/>
                <w:szCs w:val="21"/>
              </w:rPr>
              <w:t>单位规格</w:t>
            </w:r>
          </w:p>
        </w:tc>
        <w:tc>
          <w:tcPr>
            <w:tcW w:w="2266" w:type="dxa"/>
            <w:vAlign w:val="center"/>
          </w:tcPr>
          <w:p w:rsidR="001C1803" w:rsidRDefault="001C1803">
            <w:pPr>
              <w:spacing w:line="300" w:lineRule="exact"/>
              <w:jc w:val="center"/>
              <w:rPr>
                <w:rFonts w:ascii="宋体" w:cs="宋体"/>
                <w:b/>
                <w:szCs w:val="21"/>
              </w:rPr>
            </w:pPr>
            <w:r>
              <w:rPr>
                <w:rFonts w:ascii="宋体" w:hAnsi="宋体" w:cs="宋体" w:hint="eastAsia"/>
                <w:b/>
                <w:szCs w:val="21"/>
              </w:rPr>
              <w:t>经费保障形式</w:t>
            </w:r>
          </w:p>
        </w:tc>
      </w:tr>
      <w:tr w:rsidR="001C1803">
        <w:trPr>
          <w:jc w:val="center"/>
        </w:trPr>
        <w:tc>
          <w:tcPr>
            <w:tcW w:w="2265" w:type="dxa"/>
            <w:vAlign w:val="center"/>
          </w:tcPr>
          <w:p w:rsidR="001C1803" w:rsidRDefault="001C1803">
            <w:pPr>
              <w:spacing w:line="300" w:lineRule="exact"/>
              <w:jc w:val="left"/>
              <w:rPr>
                <w:rFonts w:ascii="宋体" w:cs="宋体"/>
                <w:szCs w:val="21"/>
              </w:rPr>
            </w:pPr>
            <w:r>
              <w:rPr>
                <w:rFonts w:ascii="宋体" w:hAnsi="宋体" w:cs="宋体" w:hint="eastAsia"/>
                <w:szCs w:val="21"/>
              </w:rPr>
              <w:t>霸州市发展改革局</w:t>
            </w:r>
          </w:p>
        </w:tc>
        <w:tc>
          <w:tcPr>
            <w:tcW w:w="2265" w:type="dxa"/>
            <w:vAlign w:val="center"/>
          </w:tcPr>
          <w:p w:rsidR="001C1803" w:rsidRDefault="001C1803">
            <w:pPr>
              <w:spacing w:line="300" w:lineRule="exact"/>
              <w:jc w:val="center"/>
              <w:rPr>
                <w:rFonts w:ascii="宋体" w:cs="宋体"/>
                <w:szCs w:val="21"/>
              </w:rPr>
            </w:pPr>
            <w:r>
              <w:rPr>
                <w:rFonts w:ascii="宋体" w:hAnsi="宋体" w:cs="宋体" w:hint="eastAsia"/>
                <w:szCs w:val="21"/>
              </w:rPr>
              <w:t>行政</w:t>
            </w:r>
          </w:p>
        </w:tc>
        <w:tc>
          <w:tcPr>
            <w:tcW w:w="2265" w:type="dxa"/>
            <w:vAlign w:val="center"/>
          </w:tcPr>
          <w:p w:rsidR="001C1803" w:rsidRDefault="001C1803">
            <w:pPr>
              <w:spacing w:line="300" w:lineRule="exact"/>
              <w:jc w:val="center"/>
              <w:rPr>
                <w:rFonts w:ascii="宋体" w:cs="宋体"/>
                <w:szCs w:val="21"/>
              </w:rPr>
            </w:pPr>
            <w:r>
              <w:rPr>
                <w:rFonts w:ascii="宋体" w:hAnsi="宋体" w:cs="宋体" w:hint="eastAsia"/>
                <w:szCs w:val="21"/>
              </w:rPr>
              <w:t>正科级</w:t>
            </w:r>
          </w:p>
        </w:tc>
        <w:tc>
          <w:tcPr>
            <w:tcW w:w="2266" w:type="dxa"/>
            <w:vAlign w:val="center"/>
          </w:tcPr>
          <w:p w:rsidR="001C1803" w:rsidRDefault="001C1803">
            <w:pPr>
              <w:spacing w:line="300" w:lineRule="exact"/>
              <w:jc w:val="center"/>
              <w:rPr>
                <w:rFonts w:ascii="宋体" w:cs="宋体"/>
                <w:szCs w:val="21"/>
              </w:rPr>
            </w:pPr>
            <w:r>
              <w:rPr>
                <w:rFonts w:ascii="宋体" w:hAnsi="宋体" w:cs="宋体" w:hint="eastAsia"/>
                <w:szCs w:val="21"/>
              </w:rPr>
              <w:t>财政拨款</w:t>
            </w:r>
          </w:p>
        </w:tc>
      </w:tr>
    </w:tbl>
    <w:p w:rsidR="001C1803" w:rsidRDefault="001C1803">
      <w:pPr>
        <w:jc w:val="center"/>
        <w:outlineLvl w:val="0"/>
        <w:rPr>
          <w:rFonts w:ascii="Times New Roman" w:eastAsia="方正小标宋_GBK" w:hAnsi="Times New Roman" w:cs="Times New Roman"/>
          <w:sz w:val="32"/>
          <w:szCs w:val="24"/>
        </w:rPr>
      </w:pPr>
    </w:p>
    <w:p w:rsidR="001C1803" w:rsidRDefault="001C1803">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1C1803" w:rsidRDefault="001C1803">
      <w:pPr>
        <w:ind w:firstLine="640"/>
        <w:rPr>
          <w:rFonts w:ascii="仿宋" w:eastAsia="仿宋" w:hAnsi="仿宋" w:cs="Times New Roman"/>
          <w:sz w:val="32"/>
          <w:szCs w:val="32"/>
        </w:rPr>
      </w:pPr>
      <w:r>
        <w:rPr>
          <w:rFonts w:ascii="仿宋" w:eastAsia="仿宋" w:hAnsi="仿宋" w:cs="Times New Roman" w:hint="eastAsia"/>
          <w:sz w:val="32"/>
          <w:szCs w:val="32"/>
        </w:rPr>
        <w:t>按照预算管理有关规定，目前我市部门预算的编制实行综合预算制度，即全部收入和支出都反映在预算中。</w:t>
      </w:r>
    </w:p>
    <w:p w:rsidR="001C1803" w:rsidRDefault="001C1803">
      <w:pPr>
        <w:ind w:firstLine="640"/>
        <w:rPr>
          <w:rFonts w:ascii="楷体" w:eastAsia="楷体" w:hAnsi="楷体" w:cs="楷体"/>
          <w:b/>
          <w:sz w:val="32"/>
          <w:szCs w:val="32"/>
        </w:rPr>
      </w:pPr>
      <w:r>
        <w:rPr>
          <w:rFonts w:ascii="楷体" w:eastAsia="楷体" w:hAnsi="楷体" w:cs="楷体"/>
          <w:b/>
          <w:sz w:val="32"/>
          <w:szCs w:val="32"/>
        </w:rPr>
        <w:t>1</w:t>
      </w:r>
      <w:r>
        <w:rPr>
          <w:rFonts w:ascii="楷体" w:eastAsia="楷体" w:hAnsi="楷体" w:cs="楷体" w:hint="eastAsia"/>
          <w:b/>
          <w:sz w:val="32"/>
          <w:szCs w:val="32"/>
        </w:rPr>
        <w:t>、收入说明</w:t>
      </w:r>
    </w:p>
    <w:p w:rsidR="001C1803" w:rsidRDefault="001C1803">
      <w:pPr>
        <w:ind w:firstLine="640"/>
        <w:rPr>
          <w:rFonts w:ascii="仿宋" w:eastAsia="仿宋" w:hAnsi="仿宋" w:cs="Times New Roman"/>
          <w:sz w:val="32"/>
          <w:szCs w:val="32"/>
        </w:rPr>
      </w:pPr>
      <w:r>
        <w:rPr>
          <w:rFonts w:ascii="仿宋" w:eastAsia="仿宋" w:hAnsi="仿宋" w:cs="Times New Roman" w:hint="eastAsia"/>
          <w:sz w:val="32"/>
          <w:szCs w:val="32"/>
        </w:rPr>
        <w:t>反映本部门当年全部收入。</w:t>
      </w:r>
      <w:r>
        <w:rPr>
          <w:rFonts w:ascii="仿宋" w:eastAsia="仿宋" w:hAnsi="仿宋" w:cs="Times New Roman"/>
          <w:sz w:val="32"/>
          <w:szCs w:val="32"/>
        </w:rPr>
        <w:t>2017</w:t>
      </w:r>
      <w:r>
        <w:rPr>
          <w:rFonts w:ascii="仿宋" w:eastAsia="仿宋" w:hAnsi="仿宋" w:cs="Times New Roman" w:hint="eastAsia"/>
          <w:sz w:val="32"/>
          <w:szCs w:val="32"/>
        </w:rPr>
        <w:t>年预算收入</w:t>
      </w:r>
      <w:r>
        <w:rPr>
          <w:rFonts w:ascii="仿宋" w:eastAsia="仿宋" w:hAnsi="仿宋" w:cs="Times New Roman"/>
          <w:sz w:val="32"/>
          <w:szCs w:val="32"/>
        </w:rPr>
        <w:t>1192.41</w:t>
      </w:r>
      <w:r>
        <w:rPr>
          <w:rFonts w:ascii="仿宋" w:eastAsia="仿宋" w:hAnsi="仿宋" w:cs="Times New Roman" w:hint="eastAsia"/>
          <w:sz w:val="32"/>
          <w:szCs w:val="32"/>
        </w:rPr>
        <w:t>万元，其中：一般公共预算收入</w:t>
      </w:r>
      <w:r>
        <w:rPr>
          <w:rFonts w:ascii="仿宋" w:eastAsia="仿宋" w:hAnsi="仿宋" w:cs="Times New Roman"/>
          <w:sz w:val="32"/>
          <w:szCs w:val="32"/>
        </w:rPr>
        <w:t>1192.41</w:t>
      </w:r>
      <w:r>
        <w:rPr>
          <w:rFonts w:ascii="仿宋" w:eastAsia="仿宋" w:hAnsi="仿宋" w:cs="Times New Roman" w:hint="eastAsia"/>
          <w:sz w:val="32"/>
          <w:szCs w:val="32"/>
        </w:rPr>
        <w:t>万元，政府性基金预算收入</w:t>
      </w:r>
      <w:r>
        <w:rPr>
          <w:rFonts w:ascii="仿宋" w:eastAsia="仿宋" w:hAnsi="仿宋" w:cs="Times New Roman"/>
          <w:sz w:val="32"/>
          <w:szCs w:val="32"/>
        </w:rPr>
        <w:t>0</w:t>
      </w:r>
      <w:r>
        <w:rPr>
          <w:rFonts w:ascii="仿宋" w:eastAsia="仿宋" w:hAnsi="仿宋" w:cs="Times New Roman" w:hint="eastAsia"/>
          <w:sz w:val="32"/>
          <w:szCs w:val="32"/>
        </w:rPr>
        <w:t>万元，事业收入</w:t>
      </w:r>
      <w:r>
        <w:rPr>
          <w:rFonts w:ascii="仿宋" w:eastAsia="仿宋" w:hAnsi="仿宋" w:cs="Times New Roman"/>
          <w:sz w:val="32"/>
          <w:szCs w:val="32"/>
        </w:rPr>
        <w:t>0</w:t>
      </w:r>
      <w:r>
        <w:rPr>
          <w:rFonts w:ascii="仿宋" w:eastAsia="仿宋" w:hAnsi="仿宋" w:cs="Times New Roman" w:hint="eastAsia"/>
          <w:sz w:val="32"/>
          <w:szCs w:val="32"/>
        </w:rPr>
        <w:t>万元，其他收入</w:t>
      </w:r>
      <w:r>
        <w:rPr>
          <w:rFonts w:ascii="仿宋" w:eastAsia="仿宋" w:hAnsi="仿宋" w:cs="Times New Roman"/>
          <w:sz w:val="32"/>
          <w:szCs w:val="32"/>
        </w:rPr>
        <w:t>0</w:t>
      </w:r>
      <w:r>
        <w:rPr>
          <w:rFonts w:ascii="仿宋" w:eastAsia="仿宋" w:hAnsi="仿宋" w:cs="Times New Roman" w:hint="eastAsia"/>
          <w:sz w:val="32"/>
          <w:szCs w:val="32"/>
        </w:rPr>
        <w:t>万元。</w:t>
      </w:r>
    </w:p>
    <w:p w:rsidR="001C1803" w:rsidRDefault="001C1803">
      <w:pPr>
        <w:ind w:firstLine="640"/>
        <w:rPr>
          <w:rFonts w:ascii="楷体" w:eastAsia="楷体" w:hAnsi="楷体" w:cs="楷体"/>
          <w:b/>
          <w:sz w:val="32"/>
          <w:szCs w:val="32"/>
        </w:rPr>
      </w:pPr>
      <w:r>
        <w:rPr>
          <w:rFonts w:ascii="楷体" w:eastAsia="楷体" w:hAnsi="楷体" w:cs="楷体"/>
          <w:b/>
          <w:sz w:val="32"/>
          <w:szCs w:val="32"/>
        </w:rPr>
        <w:t>2</w:t>
      </w:r>
      <w:r>
        <w:rPr>
          <w:rFonts w:ascii="楷体" w:eastAsia="楷体" w:hAnsi="楷体" w:cs="楷体" w:hint="eastAsia"/>
          <w:b/>
          <w:sz w:val="32"/>
          <w:szCs w:val="32"/>
        </w:rPr>
        <w:t>、支出说明</w:t>
      </w:r>
    </w:p>
    <w:p w:rsidR="001C1803" w:rsidRDefault="001C1803">
      <w:pPr>
        <w:ind w:firstLine="640"/>
        <w:rPr>
          <w:rFonts w:ascii="仿宋" w:eastAsia="仿宋" w:hAnsi="仿宋" w:cs="Times New Roman"/>
          <w:sz w:val="32"/>
          <w:szCs w:val="32"/>
        </w:rPr>
      </w:pPr>
      <w:r>
        <w:rPr>
          <w:rFonts w:ascii="仿宋" w:eastAsia="仿宋" w:hAnsi="仿宋" w:cs="Times New Roman" w:hint="eastAsia"/>
          <w:sz w:val="32"/>
          <w:szCs w:val="32"/>
        </w:rPr>
        <w:t>收支预算总表支出栏、基本支出表、项目支出表按经济分类和支出功能分类科目编制，反映霸州市发展改革局</w:t>
      </w:r>
      <w:r>
        <w:rPr>
          <w:rFonts w:ascii="仿宋" w:eastAsia="仿宋" w:hAnsi="仿宋" w:cs="Times New Roman"/>
          <w:sz w:val="32"/>
          <w:szCs w:val="32"/>
        </w:rPr>
        <w:t>2017</w:t>
      </w:r>
      <w:r>
        <w:rPr>
          <w:rFonts w:ascii="仿宋" w:eastAsia="仿宋" w:hAnsi="仿宋" w:cs="Times New Roman" w:hint="eastAsia"/>
          <w:sz w:val="32"/>
          <w:szCs w:val="32"/>
        </w:rPr>
        <w:t>年度部门预算中支出预算的总体情况。</w:t>
      </w:r>
      <w:r>
        <w:rPr>
          <w:rFonts w:ascii="仿宋" w:eastAsia="仿宋" w:hAnsi="仿宋" w:cs="Times New Roman"/>
          <w:sz w:val="32"/>
          <w:szCs w:val="32"/>
        </w:rPr>
        <w:t>2017</w:t>
      </w:r>
      <w:r>
        <w:rPr>
          <w:rFonts w:ascii="仿宋" w:eastAsia="仿宋" w:hAnsi="仿宋" w:cs="Times New Roman" w:hint="eastAsia"/>
          <w:sz w:val="32"/>
          <w:szCs w:val="32"/>
        </w:rPr>
        <w:t>年本部门支出预算</w:t>
      </w:r>
      <w:r>
        <w:rPr>
          <w:rFonts w:ascii="仿宋" w:eastAsia="仿宋" w:hAnsi="仿宋" w:cs="Times New Roman"/>
          <w:sz w:val="32"/>
          <w:szCs w:val="32"/>
        </w:rPr>
        <w:t>1192.41</w:t>
      </w:r>
      <w:r>
        <w:rPr>
          <w:rFonts w:ascii="仿宋" w:eastAsia="仿宋" w:hAnsi="仿宋" w:cs="Times New Roman" w:hint="eastAsia"/>
          <w:sz w:val="32"/>
          <w:szCs w:val="32"/>
        </w:rPr>
        <w:t>万元，其中基本支出</w:t>
      </w:r>
      <w:r>
        <w:rPr>
          <w:rFonts w:ascii="仿宋" w:eastAsia="仿宋" w:hAnsi="仿宋" w:cs="Times New Roman"/>
          <w:sz w:val="32"/>
          <w:szCs w:val="32"/>
        </w:rPr>
        <w:t>459.41</w:t>
      </w:r>
      <w:r>
        <w:rPr>
          <w:rFonts w:ascii="仿宋" w:eastAsia="仿宋" w:hAnsi="仿宋" w:cs="Times New Roman" w:hint="eastAsia"/>
          <w:sz w:val="32"/>
          <w:szCs w:val="32"/>
        </w:rPr>
        <w:t>万元，包括人员经费和日常公用经费；项目支出</w:t>
      </w:r>
      <w:r>
        <w:rPr>
          <w:rFonts w:ascii="仿宋" w:eastAsia="仿宋" w:hAnsi="仿宋" w:cs="Times New Roman"/>
          <w:sz w:val="32"/>
          <w:szCs w:val="32"/>
        </w:rPr>
        <w:t>733</w:t>
      </w:r>
      <w:r>
        <w:rPr>
          <w:rFonts w:ascii="仿宋" w:eastAsia="仿宋" w:hAnsi="仿宋" w:cs="Times New Roman" w:hint="eastAsia"/>
          <w:sz w:val="32"/>
          <w:szCs w:val="32"/>
        </w:rPr>
        <w:t>万元，全部为本级支出，主要为节能监察监测经费、重大项目评估论证费、重点建设项目资金等。</w:t>
      </w:r>
    </w:p>
    <w:p w:rsidR="001C1803" w:rsidRDefault="001C1803">
      <w:pPr>
        <w:ind w:firstLine="640"/>
        <w:rPr>
          <w:rFonts w:ascii="楷体" w:eastAsia="楷体" w:hAnsi="楷体" w:cs="楷体"/>
          <w:b/>
          <w:sz w:val="32"/>
          <w:szCs w:val="32"/>
        </w:rPr>
      </w:pPr>
      <w:r>
        <w:rPr>
          <w:rFonts w:ascii="楷体" w:eastAsia="楷体" w:hAnsi="楷体" w:cs="楷体"/>
          <w:b/>
          <w:sz w:val="32"/>
          <w:szCs w:val="32"/>
        </w:rPr>
        <w:t>3</w:t>
      </w:r>
      <w:r>
        <w:rPr>
          <w:rFonts w:ascii="楷体" w:eastAsia="楷体" w:hAnsi="楷体" w:cs="楷体" w:hint="eastAsia"/>
          <w:b/>
          <w:sz w:val="32"/>
          <w:szCs w:val="32"/>
        </w:rPr>
        <w:t>、比上年增减情况</w:t>
      </w:r>
    </w:p>
    <w:p w:rsidR="001C1803" w:rsidRDefault="001C1803">
      <w:pPr>
        <w:ind w:firstLine="640"/>
        <w:rPr>
          <w:rFonts w:ascii="仿宋" w:eastAsia="仿宋" w:hAnsi="仿宋" w:cs="Times New Roman"/>
          <w:sz w:val="32"/>
          <w:szCs w:val="32"/>
        </w:rPr>
      </w:pPr>
      <w:r>
        <w:rPr>
          <w:rFonts w:ascii="仿宋" w:eastAsia="仿宋" w:hAnsi="仿宋" w:cs="Times New Roman"/>
          <w:sz w:val="32"/>
          <w:szCs w:val="32"/>
        </w:rPr>
        <w:t>2017</w:t>
      </w:r>
      <w:r>
        <w:rPr>
          <w:rFonts w:ascii="仿宋" w:eastAsia="仿宋" w:hAnsi="仿宋" w:cs="Times New Roman" w:hint="eastAsia"/>
          <w:sz w:val="32"/>
          <w:szCs w:val="32"/>
        </w:rPr>
        <w:t>年预算收支安排</w:t>
      </w:r>
      <w:r>
        <w:rPr>
          <w:rFonts w:ascii="仿宋" w:eastAsia="仿宋" w:hAnsi="仿宋" w:cs="Times New Roman"/>
          <w:sz w:val="32"/>
          <w:szCs w:val="32"/>
        </w:rPr>
        <w:t>1192.41</w:t>
      </w:r>
      <w:r>
        <w:rPr>
          <w:rFonts w:ascii="仿宋" w:eastAsia="仿宋" w:hAnsi="仿宋" w:cs="Times New Roman" w:hint="eastAsia"/>
          <w:sz w:val="32"/>
          <w:szCs w:val="32"/>
        </w:rPr>
        <w:t>万元，较</w:t>
      </w:r>
      <w:r>
        <w:rPr>
          <w:rFonts w:ascii="仿宋" w:eastAsia="仿宋" w:hAnsi="仿宋" w:cs="Times New Roman"/>
          <w:sz w:val="32"/>
          <w:szCs w:val="32"/>
        </w:rPr>
        <w:t>2016</w:t>
      </w:r>
      <w:r>
        <w:rPr>
          <w:rFonts w:ascii="仿宋" w:eastAsia="仿宋" w:hAnsi="仿宋" w:cs="Times New Roman" w:hint="eastAsia"/>
          <w:sz w:val="32"/>
          <w:szCs w:val="32"/>
        </w:rPr>
        <w:t>年预算增加</w:t>
      </w:r>
      <w:r>
        <w:rPr>
          <w:rFonts w:ascii="仿宋" w:eastAsia="仿宋" w:hAnsi="仿宋" w:cs="Times New Roman"/>
          <w:sz w:val="32"/>
          <w:szCs w:val="32"/>
        </w:rPr>
        <w:t>325.7</w:t>
      </w:r>
      <w:r>
        <w:rPr>
          <w:rFonts w:ascii="仿宋" w:eastAsia="仿宋" w:hAnsi="仿宋" w:cs="Times New Roman" w:hint="eastAsia"/>
          <w:sz w:val="32"/>
          <w:szCs w:val="32"/>
        </w:rPr>
        <w:t>万元，其中：基本支出增加</w:t>
      </w:r>
      <w:r>
        <w:rPr>
          <w:rFonts w:ascii="仿宋" w:eastAsia="仿宋" w:hAnsi="仿宋" w:cs="Times New Roman"/>
          <w:sz w:val="32"/>
          <w:szCs w:val="32"/>
        </w:rPr>
        <w:t>119.9</w:t>
      </w:r>
      <w:r>
        <w:rPr>
          <w:rFonts w:ascii="仿宋" w:eastAsia="仿宋" w:hAnsi="仿宋" w:cs="Times New Roman" w:hint="eastAsia"/>
          <w:sz w:val="32"/>
          <w:szCs w:val="32"/>
        </w:rPr>
        <w:t>万元，主要为增加人员经费支出；项目支出增加</w:t>
      </w:r>
      <w:r>
        <w:rPr>
          <w:rFonts w:ascii="仿宋" w:eastAsia="仿宋" w:hAnsi="仿宋" w:cs="Times New Roman"/>
          <w:sz w:val="32"/>
          <w:szCs w:val="32"/>
        </w:rPr>
        <w:t>205.8</w:t>
      </w:r>
      <w:r>
        <w:rPr>
          <w:rFonts w:ascii="仿宋" w:eastAsia="仿宋" w:hAnsi="仿宋" w:cs="Times New Roman" w:hint="eastAsia"/>
          <w:sz w:val="32"/>
          <w:szCs w:val="32"/>
        </w:rPr>
        <w:t>万元，主要为重大项目评估论证费项目支出。</w:t>
      </w:r>
    </w:p>
    <w:p w:rsidR="001C1803" w:rsidRDefault="001C1803">
      <w:pPr>
        <w:ind w:firstLineChars="250" w:firstLine="80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1C1803" w:rsidRDefault="001C1803">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hint="eastAsia"/>
          <w:sz w:val="32"/>
          <w:szCs w:val="32"/>
        </w:rPr>
        <w:t>机关运行经费共计安排</w:t>
      </w:r>
      <w:r>
        <w:rPr>
          <w:rFonts w:ascii="仿宋" w:eastAsia="仿宋" w:hAnsi="仿宋" w:cs="Times New Roman"/>
          <w:sz w:val="32"/>
          <w:szCs w:val="32"/>
        </w:rPr>
        <w:t>33.51</w:t>
      </w:r>
      <w:r>
        <w:rPr>
          <w:rFonts w:ascii="仿宋" w:eastAsia="仿宋" w:hAnsi="仿宋" w:cs="Times New Roman" w:hint="eastAsia"/>
          <w:sz w:val="32"/>
          <w:szCs w:val="32"/>
        </w:rPr>
        <w:t>万元，主要用于本部门办公区的日常维修、办公用房水电费、办公用房取暖费、办公用房物业管理费等日常运行支出。</w:t>
      </w:r>
      <w:r>
        <w:rPr>
          <w:rFonts w:ascii="仿宋" w:eastAsia="仿宋" w:hAnsi="仿宋" w:cs="Times New Roman"/>
          <w:sz w:val="32"/>
          <w:szCs w:val="32"/>
        </w:rPr>
        <w:t xml:space="preserve"> </w:t>
      </w:r>
    </w:p>
    <w:p w:rsidR="001C1803" w:rsidRDefault="001C1803">
      <w:pPr>
        <w:ind w:firstLineChars="250" w:firstLine="800"/>
        <w:rPr>
          <w:rFonts w:ascii="黑体" w:eastAsia="黑体" w:hAnsi="黑体" w:cs="Times New Roman"/>
          <w:sz w:val="32"/>
          <w:szCs w:val="32"/>
        </w:rPr>
      </w:pPr>
      <w:r>
        <w:rPr>
          <w:rFonts w:ascii="黑体" w:eastAsia="黑体" w:hAnsi="黑体" w:cs="Times New Roman" w:hint="eastAsia"/>
          <w:sz w:val="32"/>
          <w:szCs w:val="32"/>
        </w:rPr>
        <w:t>四、财政拨款“三公”经费预算情况及增减变化原因</w:t>
      </w:r>
    </w:p>
    <w:p w:rsidR="001C1803" w:rsidRDefault="001C1803">
      <w:pPr>
        <w:spacing w:line="560" w:lineRule="exact"/>
        <w:ind w:firstLineChars="200" w:firstLine="640"/>
        <w:rPr>
          <w:rFonts w:ascii="仿宋" w:eastAsia="仿宋" w:hAnsi="仿宋" w:cs="Times New Roman"/>
          <w:color w:val="FF0000"/>
          <w:sz w:val="32"/>
          <w:szCs w:val="32"/>
        </w:rPr>
      </w:pPr>
      <w:r>
        <w:rPr>
          <w:rFonts w:ascii="Times New Roman" w:eastAsia="方正仿宋_GBK" w:hAnsi="Times New Roman" w:cs="Times New Roman"/>
          <w:sz w:val="32"/>
          <w:szCs w:val="32"/>
        </w:rPr>
        <w:t xml:space="preserve"> </w:t>
      </w:r>
      <w:r>
        <w:rPr>
          <w:rFonts w:ascii="仿宋" w:eastAsia="仿宋" w:hAnsi="仿宋" w:cs="Times New Roman"/>
          <w:sz w:val="32"/>
          <w:szCs w:val="32"/>
        </w:rPr>
        <w:t>2017</w:t>
      </w:r>
      <w:r>
        <w:rPr>
          <w:rFonts w:ascii="仿宋" w:eastAsia="仿宋" w:hAnsi="仿宋" w:cs="Times New Roman" w:hint="eastAsia"/>
          <w:sz w:val="32"/>
          <w:szCs w:val="32"/>
        </w:rPr>
        <w:t>年，我部门“三公”经费预算安排</w:t>
      </w:r>
      <w:r>
        <w:rPr>
          <w:rFonts w:ascii="仿宋" w:eastAsia="仿宋" w:hAnsi="仿宋" w:cs="Times New Roman"/>
          <w:sz w:val="32"/>
          <w:szCs w:val="32"/>
        </w:rPr>
        <w:t>5.46</w:t>
      </w:r>
      <w:r>
        <w:rPr>
          <w:rFonts w:ascii="仿宋" w:eastAsia="仿宋" w:hAnsi="仿宋" w:cs="Times New Roman" w:hint="eastAsia"/>
          <w:sz w:val="32"/>
          <w:szCs w:val="32"/>
        </w:rPr>
        <w:t>万元，其中因公出国（境）费</w:t>
      </w:r>
      <w:r>
        <w:rPr>
          <w:rFonts w:ascii="仿宋" w:eastAsia="仿宋" w:hAnsi="仿宋" w:cs="Times New Roman"/>
          <w:sz w:val="32"/>
          <w:szCs w:val="32"/>
        </w:rPr>
        <w:t>0</w:t>
      </w:r>
      <w:r>
        <w:rPr>
          <w:rFonts w:ascii="仿宋" w:eastAsia="仿宋" w:hAnsi="仿宋" w:cs="Times New Roman" w:hint="eastAsia"/>
          <w:sz w:val="32"/>
          <w:szCs w:val="32"/>
        </w:rPr>
        <w:t>万元；公务用车购置及运维费</w:t>
      </w:r>
      <w:r>
        <w:rPr>
          <w:rFonts w:ascii="仿宋" w:eastAsia="仿宋" w:hAnsi="仿宋" w:cs="Times New Roman"/>
          <w:sz w:val="32"/>
          <w:szCs w:val="32"/>
        </w:rPr>
        <w:t>5</w:t>
      </w:r>
      <w:r>
        <w:rPr>
          <w:rFonts w:ascii="仿宋" w:eastAsia="仿宋" w:hAnsi="仿宋" w:cs="Times New Roman" w:hint="eastAsia"/>
          <w:sz w:val="32"/>
          <w:szCs w:val="32"/>
        </w:rPr>
        <w:t>万元（其中：公务用车购置费为</w:t>
      </w:r>
      <w:r>
        <w:rPr>
          <w:rFonts w:ascii="仿宋" w:eastAsia="仿宋" w:hAnsi="仿宋" w:cs="Times New Roman"/>
          <w:sz w:val="32"/>
          <w:szCs w:val="32"/>
        </w:rPr>
        <w:t>0</w:t>
      </w:r>
      <w:r>
        <w:rPr>
          <w:rFonts w:ascii="仿宋" w:eastAsia="仿宋" w:hAnsi="仿宋" w:cs="Times New Roman" w:hint="eastAsia"/>
          <w:sz w:val="32"/>
          <w:szCs w:val="32"/>
        </w:rPr>
        <w:t>万元，公务用车运行费</w:t>
      </w:r>
      <w:r>
        <w:rPr>
          <w:rFonts w:ascii="仿宋" w:eastAsia="仿宋" w:hAnsi="仿宋" w:cs="Times New Roman"/>
          <w:sz w:val="32"/>
          <w:szCs w:val="32"/>
        </w:rPr>
        <w:t>5</w:t>
      </w:r>
      <w:r>
        <w:rPr>
          <w:rFonts w:ascii="仿宋" w:eastAsia="仿宋" w:hAnsi="仿宋" w:cs="Times New Roman" w:hint="eastAsia"/>
          <w:sz w:val="32"/>
          <w:szCs w:val="32"/>
        </w:rPr>
        <w:t>万元</w:t>
      </w:r>
      <w:r>
        <w:rPr>
          <w:rFonts w:ascii="仿宋" w:eastAsia="仿宋" w:hAnsi="仿宋" w:cs="Times New Roman"/>
          <w:sz w:val="32"/>
          <w:szCs w:val="32"/>
        </w:rPr>
        <w:t>)</w:t>
      </w:r>
      <w:r>
        <w:rPr>
          <w:rFonts w:ascii="仿宋" w:eastAsia="仿宋" w:hAnsi="仿宋" w:cs="Times New Roman" w:hint="eastAsia"/>
          <w:sz w:val="32"/>
          <w:szCs w:val="32"/>
        </w:rPr>
        <w:t>；公务接待费</w:t>
      </w:r>
      <w:r>
        <w:rPr>
          <w:rFonts w:ascii="仿宋" w:eastAsia="仿宋" w:hAnsi="仿宋" w:cs="Times New Roman"/>
          <w:sz w:val="32"/>
          <w:szCs w:val="32"/>
        </w:rPr>
        <w:t>0.46</w:t>
      </w:r>
      <w:r>
        <w:rPr>
          <w:rFonts w:ascii="仿宋" w:eastAsia="仿宋" w:hAnsi="仿宋" w:cs="Times New Roman" w:hint="eastAsia"/>
          <w:sz w:val="32"/>
          <w:szCs w:val="32"/>
        </w:rPr>
        <w:t>万元；比</w:t>
      </w:r>
      <w:r>
        <w:rPr>
          <w:rFonts w:ascii="仿宋" w:eastAsia="仿宋" w:hAnsi="仿宋" w:cs="Times New Roman"/>
          <w:sz w:val="32"/>
          <w:szCs w:val="32"/>
        </w:rPr>
        <w:t>2016</w:t>
      </w:r>
      <w:r>
        <w:rPr>
          <w:rFonts w:ascii="仿宋" w:eastAsia="仿宋" w:hAnsi="仿宋" w:cs="Times New Roman" w:hint="eastAsia"/>
          <w:sz w:val="32"/>
          <w:szCs w:val="32"/>
        </w:rPr>
        <w:t>年减少</w:t>
      </w:r>
      <w:r>
        <w:rPr>
          <w:rFonts w:ascii="仿宋" w:eastAsia="仿宋" w:hAnsi="仿宋" w:cs="Times New Roman"/>
          <w:sz w:val="32"/>
          <w:szCs w:val="32"/>
        </w:rPr>
        <w:t>18.06</w:t>
      </w:r>
      <w:r>
        <w:rPr>
          <w:rFonts w:ascii="仿宋" w:eastAsia="仿宋" w:hAnsi="仿宋" w:cs="Times New Roman" w:hint="eastAsia"/>
          <w:sz w:val="32"/>
          <w:szCs w:val="32"/>
        </w:rPr>
        <w:t>万元，主要原因公车改革后，我部门厉行节约，严控公车运维支出，严格控制接待标准和费用。</w:t>
      </w:r>
    </w:p>
    <w:p w:rsidR="001C1803" w:rsidRDefault="001C1803">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1C1803" w:rsidRDefault="001C1803">
      <w:pPr>
        <w:ind w:firstLineChars="200" w:firstLine="643"/>
        <w:jc w:val="left"/>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1C1803" w:rsidRDefault="001C1803">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增强规划和计划的前瞻性、科学性、可操作性。推进经济体制改革，促进全县城镇居民人均可支配收入增长和新增就业目标的实现。协调推进文化、教育、体育、卫生、养老、社会救助等基本公共服务体系建设，促进全县社会公共服务均等化。推进全县统一的信用信息数据库和共享、公示平台。稳步提高全县利用外资、境外投资规模和水平。促进实现率先发展</w:t>
      </w:r>
      <w:r>
        <w:rPr>
          <w:rFonts w:ascii="仿宋" w:eastAsia="仿宋" w:hAnsi="仿宋" w:cs="Times New Roman"/>
          <w:sz w:val="32"/>
          <w:szCs w:val="32"/>
        </w:rPr>
        <w:t>,</w:t>
      </w:r>
      <w:r>
        <w:rPr>
          <w:rFonts w:ascii="仿宋" w:eastAsia="仿宋" w:hAnsi="仿宋" w:cs="Times New Roman" w:hint="eastAsia"/>
          <w:sz w:val="32"/>
          <w:szCs w:val="32"/>
        </w:rPr>
        <w:t>推动京津冀协同发展。促进产业聚集发展，提升产业竞争力。</w:t>
      </w:r>
    </w:p>
    <w:p w:rsidR="001C1803" w:rsidRDefault="001C1803">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发挥专项资金的引导和激励的作用，通过采取补助、奖励等方式推进能源结构调整，调动企业节能降耗的积极性，积极助推节能减排和大气污染防治，确保实现年度单位</w:t>
      </w:r>
      <w:r>
        <w:rPr>
          <w:rFonts w:ascii="仿宋" w:eastAsia="仿宋" w:hAnsi="仿宋" w:cs="Times New Roman"/>
          <w:sz w:val="32"/>
          <w:szCs w:val="32"/>
        </w:rPr>
        <w:t>GDP</w:t>
      </w:r>
      <w:r>
        <w:rPr>
          <w:rFonts w:ascii="仿宋" w:eastAsia="仿宋" w:hAnsi="仿宋" w:cs="Times New Roman" w:hint="eastAsia"/>
          <w:sz w:val="32"/>
          <w:szCs w:val="32"/>
        </w:rPr>
        <w:t>能耗下降率。落实固定资产投资目标，及时下达预算内基建项目投资计划，提高县级政务设施服务保障能力</w:t>
      </w:r>
      <w:r>
        <w:rPr>
          <w:rFonts w:ascii="仿宋" w:eastAsia="仿宋" w:hAnsi="仿宋" w:cs="Times New Roman"/>
          <w:sz w:val="32"/>
          <w:szCs w:val="32"/>
        </w:rPr>
        <w:t>,</w:t>
      </w:r>
      <w:r>
        <w:rPr>
          <w:rFonts w:ascii="仿宋" w:eastAsia="仿宋" w:hAnsi="仿宋" w:cs="Times New Roman" w:hint="eastAsia"/>
          <w:sz w:val="32"/>
          <w:szCs w:val="32"/>
        </w:rPr>
        <w:t>完善招投标管理制度，取保依法招投标项目全面覆盖。加强重点项目的谋划、推进、协调、实施，加强项目建设中重大突出、违法问题的监管处罚。保障我市发展改革全面工作的顺利实施。</w:t>
      </w:r>
    </w:p>
    <w:p w:rsidR="001C1803" w:rsidRDefault="001C1803">
      <w:pPr>
        <w:ind w:firstLineChars="200" w:firstLine="643"/>
        <w:jc w:val="left"/>
        <w:rPr>
          <w:rFonts w:ascii="楷体" w:eastAsia="楷体" w:hAnsi="楷体" w:cs="楷体"/>
          <w:b/>
          <w:sz w:val="32"/>
          <w:szCs w:val="32"/>
        </w:rPr>
      </w:pPr>
      <w:r>
        <w:rPr>
          <w:rFonts w:ascii="楷体" w:eastAsia="楷体" w:hAnsi="楷体" w:cs="楷体" w:hint="eastAsia"/>
          <w:b/>
          <w:sz w:val="32"/>
          <w:szCs w:val="32"/>
        </w:rPr>
        <w:t>部门职责及工作活动绩效目标指标：</w:t>
      </w:r>
    </w:p>
    <w:p w:rsidR="001C1803" w:rsidRDefault="001C1803">
      <w:pPr>
        <w:jc w:val="center"/>
        <w:outlineLvl w:val="0"/>
        <w:rPr>
          <w:rFonts w:ascii="方正小标宋_GBK" w:eastAsia="方正小标宋_GBK" w:hAnsi="Times New Roman" w:cs="Times New Roman"/>
          <w:sz w:val="32"/>
          <w:szCs w:val="24"/>
        </w:rPr>
      </w:pPr>
    </w:p>
    <w:p w:rsidR="001C1803" w:rsidRDefault="001C1803">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w:t>
      </w:r>
      <w:r>
        <w:rPr>
          <w:rFonts w:ascii="方正小标宋_GBK" w:eastAsia="方正小标宋_GBK" w:hAnsi="Times New Roman" w:cs="Times New Roman"/>
          <w:sz w:val="32"/>
          <w:szCs w:val="24"/>
        </w:rPr>
        <w:t>-</w:t>
      </w:r>
      <w:r>
        <w:rPr>
          <w:rFonts w:ascii="方正小标宋_GBK" w:eastAsia="方正小标宋_GBK" w:hAnsi="Times New Roman" w:cs="Times New Roman" w:hint="eastAsia"/>
          <w:sz w:val="32"/>
          <w:szCs w:val="24"/>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1C180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810</w:t>
            </w:r>
            <w:r>
              <w:rPr>
                <w:rFonts w:ascii="方正书宋_GBK" w:eastAsia="方正书宋_GBK" w:hAnsi="Times New Roman" w:cs="Times New Roman" w:hint="eastAsia"/>
                <w:sz w:val="18"/>
                <w:szCs w:val="18"/>
              </w:rPr>
              <w:t>霸州市发展改革局</w:t>
            </w:r>
          </w:p>
        </w:tc>
        <w:tc>
          <w:tcPr>
            <w:tcW w:w="2948" w:type="dxa"/>
            <w:gridSpan w:val="4"/>
            <w:tcBorders>
              <w:top w:val="single" w:sz="6" w:space="0" w:color="FFFFFF"/>
              <w:left w:val="single" w:sz="6" w:space="0" w:color="FFFFFF"/>
              <w:right w:val="single" w:sz="6" w:space="0" w:color="FFFFFF"/>
            </w:tcBorders>
            <w:vAlign w:val="center"/>
          </w:tcPr>
          <w:p w:rsidR="001C1803" w:rsidRDefault="001C1803">
            <w:pPr>
              <w:spacing w:line="300" w:lineRule="exact"/>
              <w:jc w:val="righ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单位：万元</w:t>
            </w:r>
          </w:p>
        </w:tc>
      </w:tr>
      <w:tr w:rsidR="001C1803">
        <w:trPr>
          <w:trHeight w:val="227"/>
          <w:tblHeader/>
          <w:jc w:val="center"/>
        </w:trPr>
        <w:tc>
          <w:tcPr>
            <w:tcW w:w="2341" w:type="dxa"/>
            <w:vMerge w:val="restart"/>
            <w:vAlign w:val="center"/>
          </w:tcPr>
          <w:p w:rsidR="001C1803" w:rsidRDefault="001C1803">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职责活动</w:t>
            </w:r>
          </w:p>
        </w:tc>
        <w:tc>
          <w:tcPr>
            <w:tcW w:w="1276" w:type="dxa"/>
            <w:vMerge w:val="restart"/>
            <w:vAlign w:val="center"/>
          </w:tcPr>
          <w:p w:rsidR="001C1803" w:rsidRDefault="001C1803">
            <w:pPr>
              <w:spacing w:line="300" w:lineRule="exact"/>
              <w:jc w:val="center"/>
              <w:rPr>
                <w:rFonts w:ascii="宋体" w:cs="宋体"/>
                <w:b/>
                <w:szCs w:val="21"/>
              </w:rPr>
            </w:pPr>
            <w:r>
              <w:rPr>
                <w:rFonts w:ascii="宋体" w:hAnsi="宋体" w:cs="宋体" w:hint="eastAsia"/>
                <w:b/>
                <w:szCs w:val="21"/>
              </w:rPr>
              <w:t>年度预算数</w:t>
            </w:r>
          </w:p>
        </w:tc>
        <w:tc>
          <w:tcPr>
            <w:tcW w:w="2976" w:type="dxa"/>
            <w:vMerge w:val="restart"/>
            <w:vAlign w:val="center"/>
          </w:tcPr>
          <w:p w:rsidR="001C1803" w:rsidRDefault="001C1803">
            <w:pPr>
              <w:spacing w:line="300" w:lineRule="exact"/>
              <w:jc w:val="center"/>
              <w:rPr>
                <w:rFonts w:ascii="宋体" w:cs="宋体"/>
                <w:b/>
                <w:szCs w:val="21"/>
              </w:rPr>
            </w:pPr>
            <w:r>
              <w:rPr>
                <w:rFonts w:ascii="宋体" w:hAnsi="宋体" w:cs="宋体" w:hint="eastAsia"/>
                <w:b/>
                <w:szCs w:val="21"/>
              </w:rPr>
              <w:t>内容描述</w:t>
            </w:r>
          </w:p>
        </w:tc>
        <w:tc>
          <w:tcPr>
            <w:tcW w:w="2976" w:type="dxa"/>
            <w:vMerge w:val="restart"/>
            <w:vAlign w:val="center"/>
          </w:tcPr>
          <w:p w:rsidR="001C1803" w:rsidRDefault="001C1803">
            <w:pPr>
              <w:spacing w:line="300" w:lineRule="exact"/>
              <w:jc w:val="center"/>
              <w:rPr>
                <w:rFonts w:ascii="宋体" w:cs="宋体"/>
                <w:b/>
                <w:szCs w:val="21"/>
              </w:rPr>
            </w:pPr>
            <w:r>
              <w:rPr>
                <w:rFonts w:ascii="宋体" w:hAnsi="宋体" w:cs="宋体" w:hint="eastAsia"/>
                <w:b/>
                <w:szCs w:val="21"/>
              </w:rPr>
              <w:t>绩效目标</w:t>
            </w:r>
          </w:p>
        </w:tc>
        <w:tc>
          <w:tcPr>
            <w:tcW w:w="1417" w:type="dxa"/>
            <w:vMerge w:val="restart"/>
            <w:vAlign w:val="center"/>
          </w:tcPr>
          <w:p w:rsidR="001C1803" w:rsidRDefault="001C1803">
            <w:pPr>
              <w:spacing w:line="300" w:lineRule="exact"/>
              <w:jc w:val="center"/>
              <w:rPr>
                <w:rFonts w:ascii="宋体" w:cs="宋体"/>
                <w:b/>
                <w:szCs w:val="21"/>
              </w:rPr>
            </w:pPr>
            <w:r>
              <w:rPr>
                <w:rFonts w:ascii="宋体" w:hAnsi="宋体" w:cs="宋体" w:hint="eastAsia"/>
                <w:b/>
                <w:szCs w:val="21"/>
              </w:rPr>
              <w:t>绩效指标</w:t>
            </w:r>
          </w:p>
        </w:tc>
        <w:tc>
          <w:tcPr>
            <w:tcW w:w="2948" w:type="dxa"/>
            <w:gridSpan w:val="4"/>
            <w:vAlign w:val="center"/>
          </w:tcPr>
          <w:p w:rsidR="001C1803" w:rsidRDefault="001C1803">
            <w:pPr>
              <w:spacing w:line="300" w:lineRule="exact"/>
              <w:jc w:val="center"/>
              <w:rPr>
                <w:rFonts w:ascii="宋体" w:cs="宋体"/>
                <w:b/>
                <w:szCs w:val="21"/>
              </w:rPr>
            </w:pPr>
            <w:r>
              <w:rPr>
                <w:rFonts w:ascii="宋体" w:hAnsi="宋体" w:cs="宋体" w:hint="eastAsia"/>
                <w:b/>
                <w:szCs w:val="21"/>
              </w:rPr>
              <w:t>评价标准</w:t>
            </w:r>
          </w:p>
        </w:tc>
      </w:tr>
      <w:tr w:rsidR="001C1803">
        <w:trPr>
          <w:trHeight w:val="227"/>
          <w:tblHeader/>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jc w:val="left"/>
              <w:outlineLvl w:val="0"/>
              <w:rPr>
                <w:rFonts w:ascii="宋体" w:cs="宋体"/>
                <w:szCs w:val="21"/>
              </w:rPr>
            </w:pPr>
          </w:p>
        </w:tc>
        <w:tc>
          <w:tcPr>
            <w:tcW w:w="2976" w:type="dxa"/>
            <w:vMerge/>
            <w:vAlign w:val="center"/>
          </w:tcPr>
          <w:p w:rsidR="001C1803" w:rsidRDefault="001C1803">
            <w:pPr>
              <w:spacing w:line="300" w:lineRule="exact"/>
              <w:jc w:val="left"/>
              <w:outlineLvl w:val="0"/>
              <w:rPr>
                <w:rFonts w:ascii="宋体" w:cs="宋体"/>
                <w:szCs w:val="21"/>
              </w:rPr>
            </w:pPr>
          </w:p>
        </w:tc>
        <w:tc>
          <w:tcPr>
            <w:tcW w:w="2976" w:type="dxa"/>
            <w:vMerge/>
            <w:vAlign w:val="center"/>
          </w:tcPr>
          <w:p w:rsidR="001C1803" w:rsidRDefault="001C1803">
            <w:pPr>
              <w:spacing w:line="300" w:lineRule="exact"/>
              <w:jc w:val="left"/>
              <w:outlineLvl w:val="0"/>
              <w:rPr>
                <w:rFonts w:ascii="宋体" w:cs="宋体"/>
                <w:szCs w:val="21"/>
              </w:rPr>
            </w:pPr>
          </w:p>
        </w:tc>
        <w:tc>
          <w:tcPr>
            <w:tcW w:w="1417" w:type="dxa"/>
            <w:vMerge/>
            <w:vAlign w:val="center"/>
          </w:tcPr>
          <w:p w:rsidR="001C1803" w:rsidRDefault="001C1803">
            <w:pPr>
              <w:spacing w:line="300" w:lineRule="exact"/>
              <w:jc w:val="left"/>
              <w:outlineLvl w:val="0"/>
              <w:rPr>
                <w:rFonts w:ascii="宋体" w:cs="宋体"/>
                <w:szCs w:val="21"/>
              </w:rPr>
            </w:pPr>
          </w:p>
        </w:tc>
        <w:tc>
          <w:tcPr>
            <w:tcW w:w="737" w:type="dxa"/>
            <w:vAlign w:val="center"/>
          </w:tcPr>
          <w:p w:rsidR="001C1803" w:rsidRDefault="001C1803">
            <w:pPr>
              <w:spacing w:line="300" w:lineRule="exact"/>
              <w:jc w:val="center"/>
              <w:rPr>
                <w:rFonts w:ascii="宋体" w:cs="宋体"/>
                <w:b/>
                <w:szCs w:val="21"/>
              </w:rPr>
            </w:pPr>
            <w:r>
              <w:rPr>
                <w:rFonts w:ascii="宋体" w:hAnsi="宋体" w:cs="宋体" w:hint="eastAsia"/>
                <w:b/>
                <w:szCs w:val="21"/>
              </w:rPr>
              <w:t>优</w:t>
            </w:r>
          </w:p>
        </w:tc>
        <w:tc>
          <w:tcPr>
            <w:tcW w:w="737" w:type="dxa"/>
            <w:vAlign w:val="center"/>
          </w:tcPr>
          <w:p w:rsidR="001C1803" w:rsidRDefault="001C1803">
            <w:pPr>
              <w:spacing w:line="300" w:lineRule="exact"/>
              <w:jc w:val="center"/>
              <w:rPr>
                <w:rFonts w:ascii="宋体" w:cs="宋体"/>
                <w:b/>
                <w:szCs w:val="21"/>
              </w:rPr>
            </w:pPr>
            <w:r>
              <w:rPr>
                <w:rFonts w:ascii="宋体" w:hAnsi="宋体" w:cs="宋体" w:hint="eastAsia"/>
                <w:b/>
                <w:szCs w:val="21"/>
              </w:rPr>
              <w:t>良</w:t>
            </w:r>
          </w:p>
        </w:tc>
        <w:tc>
          <w:tcPr>
            <w:tcW w:w="737" w:type="dxa"/>
            <w:vAlign w:val="center"/>
          </w:tcPr>
          <w:p w:rsidR="001C1803" w:rsidRDefault="001C1803">
            <w:pPr>
              <w:spacing w:line="300" w:lineRule="exact"/>
              <w:jc w:val="center"/>
              <w:rPr>
                <w:rFonts w:ascii="宋体" w:cs="宋体"/>
                <w:b/>
                <w:szCs w:val="21"/>
              </w:rPr>
            </w:pPr>
            <w:r>
              <w:rPr>
                <w:rFonts w:ascii="宋体" w:hAnsi="宋体" w:cs="宋体" w:hint="eastAsia"/>
                <w:b/>
                <w:szCs w:val="21"/>
              </w:rPr>
              <w:t>中</w:t>
            </w:r>
          </w:p>
        </w:tc>
        <w:tc>
          <w:tcPr>
            <w:tcW w:w="737" w:type="dxa"/>
            <w:vAlign w:val="center"/>
          </w:tcPr>
          <w:p w:rsidR="001C1803" w:rsidRDefault="001C1803">
            <w:pPr>
              <w:spacing w:line="300" w:lineRule="exact"/>
              <w:jc w:val="center"/>
              <w:rPr>
                <w:rFonts w:ascii="宋体" w:cs="宋体"/>
                <w:b/>
                <w:szCs w:val="21"/>
              </w:rPr>
            </w:pPr>
            <w:r>
              <w:rPr>
                <w:rFonts w:ascii="宋体" w:hAnsi="宋体" w:cs="宋体" w:hint="eastAsia"/>
                <w:b/>
                <w:szCs w:val="21"/>
              </w:rPr>
              <w:t>差</w:t>
            </w: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年度经济、装备动员年度计划完成率</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80%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70%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60%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&lt;60%</w:t>
            </w: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重点项目建设数量</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5</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4</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3</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&lt;3</w:t>
            </w:r>
          </w:p>
        </w:tc>
      </w:tr>
      <w:tr w:rsidR="001C1803">
        <w:trPr>
          <w:trHeight w:val="227"/>
          <w:jc w:val="center"/>
        </w:trPr>
        <w:tc>
          <w:tcPr>
            <w:tcW w:w="2341" w:type="dxa"/>
            <w:vAlign w:val="center"/>
          </w:tcPr>
          <w:p w:rsidR="001C1803" w:rsidRDefault="001C1803">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推进全县产业结构调整和转型升级</w:t>
            </w:r>
          </w:p>
        </w:tc>
        <w:tc>
          <w:tcPr>
            <w:tcW w:w="1276"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363.00</w:t>
            </w:r>
          </w:p>
        </w:tc>
        <w:tc>
          <w:tcPr>
            <w:tcW w:w="2976"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实施综合性产业政策，负责协调全县第一、二、三产业发展的重大问题并衔接平衡相关发展规划和重大政策，推进经济结构战略性调整。按照经济和社会发展要求，引导产业升级和转型，支持重点领域和行业建设。</w:t>
            </w:r>
          </w:p>
        </w:tc>
        <w:tc>
          <w:tcPr>
            <w:tcW w:w="2976"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有效引导行业健康发展，提升全县产业和行业竞争力。</w:t>
            </w: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r>
      <w:tr w:rsidR="001C1803">
        <w:trPr>
          <w:trHeight w:val="227"/>
          <w:jc w:val="center"/>
        </w:trPr>
        <w:tc>
          <w:tcPr>
            <w:tcW w:w="2341" w:type="dxa"/>
            <w:vMerge w:val="restart"/>
            <w:vAlign w:val="center"/>
          </w:tcPr>
          <w:p w:rsidR="001C1803" w:rsidRDefault="001C1803">
            <w:pPr>
              <w:spacing w:line="300" w:lineRule="exact"/>
              <w:jc w:val="center"/>
              <w:rPr>
                <w:rFonts w:ascii="方正书宋_GBK" w:eastAsia="方正书宋_GBK" w:hAnsi="Times New Roman" w:cs="Times New Roman"/>
                <w:b/>
                <w:sz w:val="18"/>
                <w:szCs w:val="18"/>
              </w:rPr>
            </w:pPr>
          </w:p>
          <w:p w:rsidR="001C1803" w:rsidRDefault="001C1803">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固定资产投资调控与管理</w:t>
            </w:r>
          </w:p>
          <w:p w:rsidR="001C1803" w:rsidRDefault="001C1803">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固定资产投资政策制订与实施和县级预算内基本投资建设</w:t>
            </w:r>
          </w:p>
        </w:tc>
        <w:tc>
          <w:tcPr>
            <w:tcW w:w="1276" w:type="dxa"/>
            <w:vMerge w:val="restart"/>
            <w:vAlign w:val="center"/>
          </w:tcPr>
          <w:p w:rsidR="001C1803" w:rsidRDefault="001C1803">
            <w:pPr>
              <w:spacing w:line="300" w:lineRule="exact"/>
              <w:rPr>
                <w:rFonts w:ascii="方正书宋_GBK" w:eastAsia="方正书宋_GBK" w:hAnsi="Times New Roman" w:cs="Times New Roman"/>
                <w:sz w:val="18"/>
                <w:szCs w:val="18"/>
              </w:rPr>
            </w:pP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370.00</w:t>
            </w: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250.00</w:t>
            </w:r>
          </w:p>
        </w:tc>
        <w:tc>
          <w:tcPr>
            <w:tcW w:w="2976" w:type="dxa"/>
            <w:vMerge w:val="restart"/>
            <w:vAlign w:val="center"/>
          </w:tcPr>
          <w:p w:rsidR="001C1803" w:rsidRDefault="001C1803">
            <w:pPr>
              <w:spacing w:line="300" w:lineRule="exact"/>
              <w:rPr>
                <w:rFonts w:ascii="方正书宋_GBK" w:eastAsia="方正书宋_GBK" w:hAnsi="Times New Roman" w:cs="Times New Roman"/>
                <w:sz w:val="18"/>
                <w:szCs w:val="18"/>
              </w:rPr>
            </w:pP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拟订社会固定资产投资规模和投资结构的调控目标、及措施，衔接政府投资和重大建设项目的专项规划；按规定权限审批、核准、审核重大建设项目，提出预算内基建建设项目安排建议；开展重点建设项目管理。</w:t>
            </w: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拟订社会固定资产投资规模和投资结构的调控目标及措施；研究制定全县重点项目建设管理的思路；制定或完善投资项目审批、核准、备案管理办法及相关措施，完善投资体制和机制建设；引导民间资金用于符合我县固定资产投资方向的项目。编制县级预算内基本建设投资计划；统筹提出县级预算内基本建设资金安排基础设施建设项目资金安排建议，落实与中央、省市投资项目配套。</w:t>
            </w:r>
          </w:p>
        </w:tc>
        <w:tc>
          <w:tcPr>
            <w:tcW w:w="2976" w:type="dxa"/>
            <w:vMerge w:val="restart"/>
            <w:vAlign w:val="center"/>
          </w:tcPr>
          <w:p w:rsidR="001C1803" w:rsidRDefault="001C1803">
            <w:pPr>
              <w:spacing w:line="300" w:lineRule="exact"/>
              <w:rPr>
                <w:rFonts w:ascii="方正书宋_GBK" w:eastAsia="方正书宋_GBK" w:hAnsi="Times New Roman" w:cs="Times New Roman"/>
                <w:sz w:val="18"/>
                <w:szCs w:val="18"/>
              </w:rPr>
            </w:pP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提升公共设施水平，提高公共服务能力，促进经济和社会发展。</w:t>
            </w: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落实县固定资产投资目标；指导政策性贷款使用，有效引导民间资金用于我县固定资产投资。按时编制并提交年度预算内基建项目安排建议，并落实到具体项目；足额保证县委、县政府确定的重点基建投资项目；落实与中央、省市投资项目配套；及时下达预算内基建项目投资计划，提高县级政务设施服务保障能力</w:t>
            </w: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节电量</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节能量</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可转移高峰负荷</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预算内基本建设投资计划执行率</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100%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95%</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90%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&lt;90%</w:t>
            </w: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预算内基本建设资金完成率</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100%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95%</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90%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&lt;90%</w:t>
            </w:r>
          </w:p>
        </w:tc>
      </w:tr>
      <w:tr w:rsidR="001C1803">
        <w:trPr>
          <w:trHeight w:val="227"/>
          <w:jc w:val="center"/>
        </w:trPr>
        <w:tc>
          <w:tcPr>
            <w:tcW w:w="2341" w:type="dxa"/>
            <w:vMerge w:val="restart"/>
            <w:vAlign w:val="center"/>
          </w:tcPr>
          <w:p w:rsidR="001C1803" w:rsidRDefault="001C1803">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组织实施全县重点项目和稽查</w:t>
            </w:r>
          </w:p>
          <w:p w:rsidR="001C1803" w:rsidRDefault="001C1803">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发展和改革政务管理</w:t>
            </w:r>
          </w:p>
        </w:tc>
        <w:tc>
          <w:tcPr>
            <w:tcW w:w="1276" w:type="dxa"/>
            <w:vMerge w:val="restart"/>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120.00</w:t>
            </w:r>
          </w:p>
          <w:p w:rsidR="001C1803" w:rsidRDefault="001C1803">
            <w:pPr>
              <w:spacing w:line="300" w:lineRule="exact"/>
              <w:rPr>
                <w:rFonts w:ascii="方正书宋_GBK" w:eastAsia="方正书宋_GBK" w:hAnsi="Times New Roman" w:cs="Times New Roman"/>
                <w:sz w:val="18"/>
                <w:szCs w:val="18"/>
              </w:rPr>
            </w:pPr>
          </w:p>
        </w:tc>
        <w:tc>
          <w:tcPr>
            <w:tcW w:w="2976" w:type="dxa"/>
            <w:vMerge w:val="restart"/>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实施县级重点建设项目，编制全县重点建设项目年度工作计划并执行；按规定权限审批、核准、审核重大建设项目；组织开展对工作活动范围内的项目单位在前期手续、投资计划和资金下达、建设实施、建设管理、进度控制、资金和财务管理、竣工验收等方面实施情况的监督检查；建立投资项目信息报送制度。化工、煤炭建设项目工程质量监督管理；依法组织开展重点（重大）项目稽查，对市、县投资政策、投资计划执行情况的监督检查。</w:t>
            </w: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保障发展改革一般性日常业务开展和机关事务的基本运转。</w:t>
            </w:r>
          </w:p>
        </w:tc>
        <w:tc>
          <w:tcPr>
            <w:tcW w:w="2976" w:type="dxa"/>
            <w:vMerge w:val="restart"/>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加强重点项目谋划、协调，推动重点项目顺利实施。加强项目监管，推动项目顺利实施，处罚项目建设中重大突出违法问题。</w:t>
            </w:r>
          </w:p>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保障发展改革一般性日常业务开展和机关事务的基本运转。</w:t>
            </w: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项目开工率</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90%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85%</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80%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&lt;80%</w:t>
            </w: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重点项目监督稽察覆盖率</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70%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65%</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w:t>
            </w:r>
            <w:r>
              <w:rPr>
                <w:rFonts w:ascii="方正书宋_GBK" w:eastAsia="方正书宋_GBK" w:hAnsi="Times New Roman" w:cs="Times New Roman"/>
                <w:sz w:val="18"/>
                <w:szCs w:val="18"/>
              </w:rPr>
              <w:t>60%</w:t>
            </w: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r>
              <w:rPr>
                <w:rFonts w:ascii="方正书宋_GBK" w:eastAsia="方正书宋_GBK" w:hAnsi="Times New Roman" w:cs="Times New Roman"/>
                <w:sz w:val="18"/>
                <w:szCs w:val="18"/>
              </w:rPr>
              <w:t>&lt;60%</w:t>
            </w:r>
          </w:p>
        </w:tc>
      </w:tr>
      <w:tr w:rsidR="001C1803">
        <w:trPr>
          <w:trHeight w:val="227"/>
          <w:jc w:val="center"/>
        </w:trPr>
        <w:tc>
          <w:tcPr>
            <w:tcW w:w="2341" w:type="dxa"/>
            <w:vMerge/>
            <w:vAlign w:val="center"/>
          </w:tcPr>
          <w:p w:rsidR="001C1803" w:rsidRDefault="001C1803">
            <w:pPr>
              <w:spacing w:line="300" w:lineRule="exact"/>
              <w:jc w:val="center"/>
              <w:rPr>
                <w:rFonts w:ascii="方正书宋_GBK" w:eastAsia="方正书宋_GBK" w:hAnsi="Times New Roman" w:cs="Times New Roman"/>
                <w:b/>
                <w:sz w:val="18"/>
                <w:szCs w:val="18"/>
              </w:rPr>
            </w:pPr>
          </w:p>
        </w:tc>
        <w:tc>
          <w:tcPr>
            <w:tcW w:w="12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2976" w:type="dxa"/>
            <w:vMerge/>
            <w:vAlign w:val="center"/>
          </w:tcPr>
          <w:p w:rsidR="001C1803" w:rsidRDefault="001C1803">
            <w:pPr>
              <w:spacing w:line="300" w:lineRule="exact"/>
              <w:rPr>
                <w:rFonts w:ascii="方正书宋_GBK" w:eastAsia="方正书宋_GBK" w:hAnsi="Times New Roman" w:cs="Times New Roman"/>
                <w:sz w:val="18"/>
                <w:szCs w:val="18"/>
              </w:rPr>
            </w:pPr>
          </w:p>
        </w:tc>
        <w:tc>
          <w:tcPr>
            <w:tcW w:w="141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c>
          <w:tcPr>
            <w:tcW w:w="737" w:type="dxa"/>
            <w:vAlign w:val="center"/>
          </w:tcPr>
          <w:p w:rsidR="001C1803" w:rsidRDefault="001C1803">
            <w:pPr>
              <w:spacing w:line="300" w:lineRule="exact"/>
              <w:rPr>
                <w:rFonts w:ascii="方正书宋_GBK" w:eastAsia="方正书宋_GBK" w:hAnsi="Times New Roman" w:cs="Times New Roman"/>
                <w:sz w:val="18"/>
                <w:szCs w:val="18"/>
              </w:rPr>
            </w:pPr>
          </w:p>
        </w:tc>
      </w:tr>
    </w:tbl>
    <w:p w:rsidR="001C1803" w:rsidRDefault="001C1803">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1C1803" w:rsidRDefault="001C1803">
      <w:pPr>
        <w:spacing w:line="560" w:lineRule="exact"/>
        <w:ind w:firstLineChars="200" w:firstLine="640"/>
        <w:rPr>
          <w:rFonts w:ascii="仿宋" w:eastAsia="仿宋" w:hAnsi="仿宋" w:cs="Times New Roman"/>
          <w:sz w:val="32"/>
          <w:szCs w:val="32"/>
        </w:rPr>
      </w:pPr>
      <w:bookmarkStart w:id="1" w:name="_Toc471398468"/>
      <w:r>
        <w:rPr>
          <w:rFonts w:ascii="仿宋" w:eastAsia="仿宋" w:hAnsi="仿宋" w:cs="Times New Roman"/>
          <w:sz w:val="32"/>
          <w:szCs w:val="32"/>
        </w:rPr>
        <w:t>2017</w:t>
      </w:r>
      <w:r>
        <w:rPr>
          <w:rFonts w:ascii="仿宋" w:eastAsia="仿宋" w:hAnsi="仿宋" w:cs="Times New Roman" w:hint="eastAsia"/>
          <w:sz w:val="32"/>
          <w:szCs w:val="32"/>
        </w:rPr>
        <w:t>年，我部门安排政府采购预算</w:t>
      </w:r>
      <w:r>
        <w:rPr>
          <w:rFonts w:ascii="仿宋" w:eastAsia="仿宋" w:hAnsi="仿宋" w:cs="Times New Roman"/>
          <w:sz w:val="32"/>
          <w:szCs w:val="32"/>
        </w:rPr>
        <w:t>6.43</w:t>
      </w:r>
      <w:r>
        <w:rPr>
          <w:rFonts w:ascii="仿宋" w:eastAsia="仿宋" w:hAnsi="仿宋" w:cs="Times New Roman" w:hint="eastAsia"/>
          <w:sz w:val="32"/>
          <w:szCs w:val="32"/>
        </w:rPr>
        <w:t>万元。具体内容见下表。</w:t>
      </w:r>
    </w:p>
    <w:p w:rsidR="001C1803" w:rsidRDefault="001C1803">
      <w:pPr>
        <w:jc w:val="center"/>
        <w:outlineLvl w:val="0"/>
        <w:rPr>
          <w:rFonts w:ascii="楷体" w:eastAsia="楷体" w:hAnsi="楷体" w:cs="楷体"/>
          <w:b/>
          <w:bCs/>
          <w:sz w:val="32"/>
          <w:szCs w:val="24"/>
        </w:rPr>
      </w:pPr>
      <w:r>
        <w:rPr>
          <w:rFonts w:ascii="楷体" w:eastAsia="楷体" w:hAnsi="楷体" w:cs="楷体" w:hint="eastAsia"/>
          <w:b/>
          <w:bCs/>
          <w:sz w:val="32"/>
          <w:szCs w:val="24"/>
        </w:rPr>
        <w:t>部门政府采购预算</w:t>
      </w:r>
      <w:bookmarkEnd w:id="1"/>
    </w:p>
    <w:tbl>
      <w:tblPr>
        <w:tblW w:w="137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71"/>
        <w:gridCol w:w="755"/>
        <w:gridCol w:w="1380"/>
        <w:gridCol w:w="1485"/>
        <w:gridCol w:w="660"/>
        <w:gridCol w:w="618"/>
        <w:gridCol w:w="850"/>
        <w:gridCol w:w="831"/>
        <w:gridCol w:w="831"/>
        <w:gridCol w:w="832"/>
        <w:gridCol w:w="832"/>
        <w:gridCol w:w="832"/>
        <w:gridCol w:w="832"/>
        <w:gridCol w:w="782"/>
      </w:tblGrid>
      <w:tr w:rsidR="001C1803">
        <w:trPr>
          <w:trHeight w:val="270"/>
          <w:tblHeader/>
          <w:jc w:val="center"/>
        </w:trPr>
        <w:tc>
          <w:tcPr>
            <w:tcW w:w="8019" w:type="dxa"/>
            <w:gridSpan w:val="7"/>
            <w:tcBorders>
              <w:top w:val="single" w:sz="6" w:space="0" w:color="FFFFFF"/>
              <w:left w:val="single" w:sz="6" w:space="0" w:color="FFFFFF"/>
              <w:right w:val="single" w:sz="6" w:space="0" w:color="FFFFFF"/>
            </w:tcBorders>
            <w:vAlign w:val="center"/>
          </w:tcPr>
          <w:p w:rsidR="001C1803" w:rsidRDefault="001C1803">
            <w:pPr>
              <w:spacing w:line="300" w:lineRule="exact"/>
              <w:rPr>
                <w:rFonts w:ascii="方正书宋_GBK" w:eastAsia="方正书宋_GBK" w:hAnsi="Times New Roman" w:cs="Times New Roman"/>
                <w:sz w:val="24"/>
                <w:szCs w:val="24"/>
              </w:rPr>
            </w:pPr>
            <w:r>
              <w:rPr>
                <w:rFonts w:ascii="方正书宋_GBK" w:eastAsia="方正书宋_GBK" w:hAnsi="Times New Roman" w:cs="Times New Roman"/>
                <w:sz w:val="24"/>
                <w:szCs w:val="24"/>
              </w:rPr>
              <w:t>810</w:t>
            </w:r>
            <w:r>
              <w:rPr>
                <w:rFonts w:ascii="方正书宋_GBK" w:eastAsia="方正书宋_GBK" w:hAnsi="Times New Roman" w:cs="Times New Roman" w:hint="eastAsia"/>
                <w:sz w:val="24"/>
                <w:szCs w:val="24"/>
              </w:rPr>
              <w:t>霸州市发展改革局</w:t>
            </w:r>
          </w:p>
        </w:tc>
        <w:tc>
          <w:tcPr>
            <w:tcW w:w="5772" w:type="dxa"/>
            <w:gridSpan w:val="7"/>
            <w:tcBorders>
              <w:top w:val="single" w:sz="6" w:space="0" w:color="FFFFFF"/>
              <w:left w:val="single" w:sz="6" w:space="0" w:color="FFFFFF"/>
              <w:right w:val="single" w:sz="6" w:space="0" w:color="FFFFFF"/>
            </w:tcBorders>
            <w:vAlign w:val="center"/>
          </w:tcPr>
          <w:p w:rsidR="001C1803" w:rsidRDefault="001C1803">
            <w:pPr>
              <w:spacing w:line="300" w:lineRule="exact"/>
              <w:jc w:val="right"/>
              <w:rPr>
                <w:rFonts w:ascii="方正书宋_GBK" w:eastAsia="方正书宋_GBK" w:hAnsi="Times New Roman" w:cs="Times New Roman"/>
                <w:sz w:val="24"/>
                <w:szCs w:val="24"/>
              </w:rPr>
            </w:pPr>
            <w:r>
              <w:rPr>
                <w:rFonts w:ascii="方正书宋_GBK" w:eastAsia="方正书宋_GBK" w:hAnsi="Times New Roman" w:cs="Times New Roman" w:hint="eastAsia"/>
                <w:sz w:val="24"/>
                <w:szCs w:val="24"/>
              </w:rPr>
              <w:t>单位：万元</w:t>
            </w:r>
          </w:p>
        </w:tc>
      </w:tr>
      <w:tr w:rsidR="001C1803">
        <w:trPr>
          <w:tblHeader/>
          <w:jc w:val="center"/>
        </w:trPr>
        <w:tc>
          <w:tcPr>
            <w:tcW w:w="3026" w:type="dxa"/>
            <w:gridSpan w:val="2"/>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1380"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1485"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660"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r>
              <w:rPr>
                <w:rFonts w:ascii="方正书宋_GBK" w:eastAsia="方正书宋_GBK" w:hAnsi="Times New Roman" w:cs="Times New Roman"/>
                <w:b/>
                <w:szCs w:val="24"/>
              </w:rPr>
              <w:t xml:space="preserve">  </w:t>
            </w:r>
            <w:r>
              <w:rPr>
                <w:rFonts w:ascii="方正书宋_GBK" w:eastAsia="方正书宋_GBK" w:hAnsi="Times New Roman" w:cs="Times New Roman" w:hint="eastAsia"/>
                <w:b/>
                <w:szCs w:val="24"/>
              </w:rPr>
              <w:t>单位</w:t>
            </w:r>
          </w:p>
        </w:tc>
        <w:tc>
          <w:tcPr>
            <w:tcW w:w="618"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850"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5772" w:type="dxa"/>
            <w:gridSpan w:val="7"/>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1C1803">
        <w:trPr>
          <w:tblHeader/>
          <w:jc w:val="center"/>
        </w:trPr>
        <w:tc>
          <w:tcPr>
            <w:tcW w:w="2271"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755"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1380"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1485"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660"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618"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850"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831"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4159" w:type="dxa"/>
            <w:gridSpan w:val="5"/>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782" w:type="dxa"/>
            <w:vMerge w:val="restart"/>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其他渠道资金</w:t>
            </w:r>
          </w:p>
        </w:tc>
      </w:tr>
      <w:tr w:rsidR="001C1803">
        <w:trPr>
          <w:tblHeader/>
          <w:jc w:val="center"/>
        </w:trPr>
        <w:tc>
          <w:tcPr>
            <w:tcW w:w="2271"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755"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1380"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1485"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660"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618"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850"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831" w:type="dxa"/>
            <w:vMerge/>
            <w:vAlign w:val="center"/>
          </w:tcPr>
          <w:p w:rsidR="001C1803" w:rsidRDefault="001C1803">
            <w:pPr>
              <w:spacing w:line="300" w:lineRule="exact"/>
              <w:jc w:val="center"/>
              <w:rPr>
                <w:rFonts w:ascii="方正书宋_GBK" w:eastAsia="方正书宋_GBK" w:hAnsi="Times New Roman" w:cs="Times New Roman"/>
                <w:b/>
                <w:szCs w:val="24"/>
              </w:rPr>
            </w:pPr>
          </w:p>
        </w:tc>
        <w:tc>
          <w:tcPr>
            <w:tcW w:w="831"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782" w:type="dxa"/>
            <w:vMerge/>
            <w:vAlign w:val="center"/>
          </w:tcPr>
          <w:p w:rsidR="001C1803" w:rsidRDefault="001C1803">
            <w:pPr>
              <w:spacing w:line="300" w:lineRule="exact"/>
              <w:jc w:val="center"/>
              <w:rPr>
                <w:rFonts w:ascii="方正书宋_GBK" w:eastAsia="方正书宋_GBK" w:hAnsi="Times New Roman" w:cs="Times New Roman"/>
                <w:b/>
                <w:szCs w:val="24"/>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霸州市发展改革局小计</w:t>
            </w:r>
          </w:p>
        </w:tc>
        <w:tc>
          <w:tcPr>
            <w:tcW w:w="755"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1380"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1485"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660"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618"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850"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831"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b/>
                <w:szCs w:val="24"/>
              </w:rPr>
              <w:t>6.43</w:t>
            </w:r>
          </w:p>
        </w:tc>
        <w:tc>
          <w:tcPr>
            <w:tcW w:w="831"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b/>
                <w:szCs w:val="24"/>
              </w:rPr>
              <w:t>6.43</w:t>
            </w: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b/>
                <w:szCs w:val="24"/>
              </w:rPr>
              <w:t>6.43</w:t>
            </w: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832" w:type="dxa"/>
            <w:vAlign w:val="center"/>
          </w:tcPr>
          <w:p w:rsidR="001C1803" w:rsidRDefault="001C1803">
            <w:pPr>
              <w:spacing w:line="300" w:lineRule="exact"/>
              <w:jc w:val="center"/>
              <w:rPr>
                <w:rFonts w:ascii="方正书宋_GBK" w:eastAsia="方正书宋_GBK" w:hAnsi="Times New Roman" w:cs="Times New Roman"/>
                <w:b/>
                <w:szCs w:val="24"/>
              </w:rPr>
            </w:pPr>
          </w:p>
        </w:tc>
        <w:tc>
          <w:tcPr>
            <w:tcW w:w="782" w:type="dxa"/>
            <w:vAlign w:val="center"/>
          </w:tcPr>
          <w:p w:rsidR="001C1803" w:rsidRDefault="001C1803">
            <w:pPr>
              <w:spacing w:line="300" w:lineRule="exact"/>
              <w:jc w:val="center"/>
              <w:rPr>
                <w:rFonts w:ascii="方正书宋_GBK" w:eastAsia="方正书宋_GBK" w:hAnsi="Times New Roman" w:cs="Times New Roman"/>
                <w:b/>
                <w:szCs w:val="24"/>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日常公用经费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33.51</w:t>
            </w: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扫描仪</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A0201060901</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台</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1</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0.35</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0.35</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0.35</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0.35</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日常公用经费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33.51</w:t>
            </w: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计算机设备</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A020101</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台</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4</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0.48</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1.92</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1.92</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1.92</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日常公用经费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33.51</w:t>
            </w: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普通电视设备</w:t>
            </w:r>
            <w:r>
              <w:rPr>
                <w:rFonts w:ascii="方正书宋_GBK" w:eastAsia="方正书宋_GBK" w:hAnsi="Times New Roman" w:cs="Times New Roman"/>
                <w:bCs/>
                <w:szCs w:val="24"/>
              </w:rPr>
              <w:t>(</w:t>
            </w:r>
            <w:r>
              <w:rPr>
                <w:rFonts w:ascii="方正书宋_GBK" w:eastAsia="方正书宋_GBK" w:hAnsi="Times New Roman" w:cs="Times New Roman" w:hint="eastAsia"/>
                <w:bCs/>
                <w:szCs w:val="24"/>
              </w:rPr>
              <w:t>电视机</w:t>
            </w:r>
            <w:r>
              <w:rPr>
                <w:rFonts w:ascii="方正书宋_GBK" w:eastAsia="方正书宋_GBK" w:hAnsi="Times New Roman" w:cs="Times New Roman"/>
                <w:bCs/>
                <w:szCs w:val="24"/>
              </w:rPr>
              <w:t>)</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A02091001</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台</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1</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0.50</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0.50</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0.50</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0.50</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日常公用经费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33.51</w:t>
            </w: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家具用具</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A06</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张</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6</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0.08</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0.48</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0.48</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0.48</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日常公用经费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33.51</w:t>
            </w: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家具用具</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A06</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把</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6</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0.03</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0.18</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0.18</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0.18</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日常公用经费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33.51</w:t>
            </w: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家具用具</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A06</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个</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4</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0.05</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0.20</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0.20</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0.20</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节能监察监测经费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计算机设备</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A020101</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台</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6</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0.35</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2.1</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2.1</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2.1</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r w:rsidR="001C1803">
        <w:trPr>
          <w:jc w:val="center"/>
        </w:trPr>
        <w:tc>
          <w:tcPr>
            <w:tcW w:w="227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节能监察监测经费</w:t>
            </w:r>
          </w:p>
        </w:tc>
        <w:tc>
          <w:tcPr>
            <w:tcW w:w="755" w:type="dxa"/>
            <w:vAlign w:val="center"/>
          </w:tcPr>
          <w:p w:rsidR="001C1803" w:rsidRDefault="001C1803">
            <w:pPr>
              <w:spacing w:line="300" w:lineRule="exact"/>
              <w:jc w:val="center"/>
              <w:rPr>
                <w:rFonts w:ascii="方正书宋_GBK" w:eastAsia="方正书宋_GBK" w:hAnsi="Times New Roman" w:cs="Times New Roman"/>
                <w:bCs/>
                <w:szCs w:val="24"/>
              </w:rPr>
            </w:pPr>
          </w:p>
        </w:tc>
        <w:tc>
          <w:tcPr>
            <w:tcW w:w="138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计算机设备</w:t>
            </w:r>
          </w:p>
        </w:tc>
        <w:tc>
          <w:tcPr>
            <w:tcW w:w="1485"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A020101</w:t>
            </w:r>
          </w:p>
        </w:tc>
        <w:tc>
          <w:tcPr>
            <w:tcW w:w="66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hint="eastAsia"/>
                <w:bCs/>
                <w:szCs w:val="24"/>
              </w:rPr>
              <w:t>台</w:t>
            </w:r>
          </w:p>
        </w:tc>
        <w:tc>
          <w:tcPr>
            <w:tcW w:w="618"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3</w:t>
            </w:r>
          </w:p>
        </w:tc>
        <w:tc>
          <w:tcPr>
            <w:tcW w:w="850"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2.33</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0.7</w:t>
            </w:r>
          </w:p>
        </w:tc>
        <w:tc>
          <w:tcPr>
            <w:tcW w:w="831"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0.7</w:t>
            </w:r>
          </w:p>
        </w:tc>
        <w:tc>
          <w:tcPr>
            <w:tcW w:w="832" w:type="dxa"/>
            <w:vAlign w:val="center"/>
          </w:tcPr>
          <w:p w:rsidR="001C1803" w:rsidRDefault="001C1803">
            <w:pPr>
              <w:spacing w:line="300" w:lineRule="exact"/>
              <w:jc w:val="center"/>
              <w:rPr>
                <w:rFonts w:ascii="方正书宋_GBK" w:eastAsia="方正书宋_GBK" w:hAnsi="Times New Roman" w:cs="Times New Roman"/>
                <w:bCs/>
                <w:szCs w:val="24"/>
              </w:rPr>
            </w:pPr>
            <w:r>
              <w:rPr>
                <w:rFonts w:ascii="方正书宋_GBK" w:eastAsia="方正书宋_GBK" w:hAnsi="Times New Roman" w:cs="Times New Roman"/>
                <w:bCs/>
                <w:szCs w:val="24"/>
              </w:rPr>
              <w:t>0.7</w:t>
            </w: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832" w:type="dxa"/>
            <w:vAlign w:val="center"/>
          </w:tcPr>
          <w:p w:rsidR="001C1803" w:rsidRDefault="001C1803">
            <w:pPr>
              <w:spacing w:line="300" w:lineRule="exact"/>
              <w:jc w:val="right"/>
              <w:rPr>
                <w:rFonts w:ascii="宋体" w:cs="宋体"/>
                <w:szCs w:val="21"/>
              </w:rPr>
            </w:pPr>
          </w:p>
        </w:tc>
        <w:tc>
          <w:tcPr>
            <w:tcW w:w="782" w:type="dxa"/>
            <w:vAlign w:val="center"/>
          </w:tcPr>
          <w:p w:rsidR="001C1803" w:rsidRDefault="001C1803">
            <w:pPr>
              <w:spacing w:line="300" w:lineRule="exact"/>
              <w:jc w:val="right"/>
              <w:rPr>
                <w:rFonts w:ascii="宋体" w:cs="宋体"/>
                <w:szCs w:val="21"/>
              </w:rPr>
            </w:pPr>
          </w:p>
        </w:tc>
      </w:tr>
    </w:tbl>
    <w:p w:rsidR="001C1803" w:rsidRDefault="001C1803">
      <w:pPr>
        <w:jc w:val="center"/>
        <w:outlineLvl w:val="0"/>
        <w:rPr>
          <w:rFonts w:ascii="方正小标宋_GBK" w:eastAsia="方正小标宋_GBK" w:hAnsi="Times New Roman" w:cs="Times New Roman"/>
          <w:sz w:val="32"/>
          <w:szCs w:val="24"/>
        </w:rPr>
      </w:pPr>
    </w:p>
    <w:p w:rsidR="001C1803" w:rsidRDefault="001C1803">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w:t>
      </w:r>
      <w:bookmarkStart w:id="2" w:name="_GoBack"/>
      <w:bookmarkEnd w:id="2"/>
      <w:r>
        <w:rPr>
          <w:rFonts w:ascii="黑体" w:eastAsia="黑体" w:hAnsi="黑体" w:cs="Times New Roman" w:hint="eastAsia"/>
          <w:sz w:val="32"/>
          <w:szCs w:val="32"/>
        </w:rPr>
        <w:t>有资产信息</w:t>
      </w:r>
    </w:p>
    <w:p w:rsidR="001C1803" w:rsidRDefault="001C1803">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霸州市发展改革局（含所属单位）上年末固定资产金额为</w:t>
      </w:r>
      <w:r>
        <w:rPr>
          <w:rFonts w:ascii="仿宋" w:eastAsia="仿宋" w:hAnsi="仿宋" w:cs="Times New Roman"/>
          <w:sz w:val="32"/>
          <w:szCs w:val="32"/>
        </w:rPr>
        <w:t>347.98</w:t>
      </w:r>
      <w:r>
        <w:rPr>
          <w:rFonts w:ascii="仿宋" w:eastAsia="仿宋" w:hAnsi="仿宋" w:cs="Times New Roman" w:hint="eastAsia"/>
          <w:sz w:val="32"/>
          <w:szCs w:val="32"/>
        </w:rPr>
        <w:t>万元，本年度拟购置固定资产</w:t>
      </w:r>
      <w:r>
        <w:rPr>
          <w:rFonts w:ascii="仿宋" w:eastAsia="仿宋" w:hAnsi="仿宋" w:cs="Times New Roman"/>
          <w:sz w:val="32"/>
          <w:szCs w:val="32"/>
        </w:rPr>
        <w:t>6.43</w:t>
      </w:r>
      <w:r>
        <w:rPr>
          <w:rFonts w:ascii="仿宋" w:eastAsia="仿宋" w:hAnsi="仿宋" w:cs="Times New Roman" w:hint="eastAsia"/>
          <w:sz w:val="32"/>
          <w:szCs w:val="32"/>
        </w:rPr>
        <w:t>万元，主要为计算机设备、打印设备、办公家具等，已列入政府采购预算。详见下表。</w:t>
      </w:r>
    </w:p>
    <w:tbl>
      <w:tblPr>
        <w:tblW w:w="13482" w:type="dxa"/>
        <w:tblInd w:w="93" w:type="dxa"/>
        <w:tblLayout w:type="fixed"/>
        <w:tblLook w:val="00A0"/>
      </w:tblPr>
      <w:tblGrid>
        <w:gridCol w:w="5224"/>
        <w:gridCol w:w="3155"/>
        <w:gridCol w:w="5103"/>
      </w:tblGrid>
      <w:tr w:rsidR="001C1803">
        <w:trPr>
          <w:trHeight w:val="705"/>
        </w:trPr>
        <w:tc>
          <w:tcPr>
            <w:tcW w:w="13482" w:type="dxa"/>
            <w:gridSpan w:val="3"/>
            <w:tcBorders>
              <w:top w:val="nil"/>
              <w:left w:val="nil"/>
              <w:bottom w:val="nil"/>
              <w:right w:val="nil"/>
            </w:tcBorders>
            <w:vAlign w:val="center"/>
          </w:tcPr>
          <w:p w:rsidR="001C1803" w:rsidRDefault="001C1803">
            <w:pPr>
              <w:widowControl/>
              <w:jc w:val="center"/>
              <w:rPr>
                <w:rFonts w:ascii="宋体" w:cs="宋体"/>
                <w:b/>
                <w:bCs/>
                <w:kern w:val="0"/>
                <w:sz w:val="32"/>
                <w:szCs w:val="32"/>
              </w:rPr>
            </w:pPr>
            <w:r>
              <w:rPr>
                <w:rFonts w:ascii="宋体" w:hAnsi="宋体" w:cs="宋体" w:hint="eastAsia"/>
                <w:b/>
                <w:bCs/>
                <w:kern w:val="0"/>
                <w:sz w:val="32"/>
                <w:szCs w:val="32"/>
              </w:rPr>
              <w:t>霸州市发展改革局部门固定资产占用情况表</w:t>
            </w:r>
          </w:p>
        </w:tc>
      </w:tr>
      <w:tr w:rsidR="001C1803">
        <w:trPr>
          <w:trHeight w:val="510"/>
        </w:trPr>
        <w:tc>
          <w:tcPr>
            <w:tcW w:w="8379" w:type="dxa"/>
            <w:gridSpan w:val="2"/>
            <w:tcBorders>
              <w:top w:val="nil"/>
              <w:left w:val="nil"/>
              <w:bottom w:val="nil"/>
              <w:right w:val="nil"/>
            </w:tcBorders>
            <w:vAlign w:val="center"/>
          </w:tcPr>
          <w:p w:rsidR="001C1803" w:rsidRDefault="001C1803">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810</w:t>
            </w:r>
            <w:r>
              <w:rPr>
                <w:rFonts w:ascii="宋体" w:hAnsi="宋体" w:cs="宋体" w:hint="eastAsia"/>
                <w:kern w:val="0"/>
                <w:sz w:val="22"/>
              </w:rPr>
              <w:t>霸州市发展改革局</w:t>
            </w:r>
            <w:r>
              <w:rPr>
                <w:rFonts w:ascii="宋体" w:hAnsi="宋体" w:cs="宋体"/>
                <w:kern w:val="0"/>
                <w:sz w:val="22"/>
              </w:rPr>
              <w:t xml:space="preserve">     </w:t>
            </w:r>
          </w:p>
        </w:tc>
        <w:tc>
          <w:tcPr>
            <w:tcW w:w="5103" w:type="dxa"/>
            <w:tcBorders>
              <w:top w:val="nil"/>
              <w:left w:val="nil"/>
              <w:bottom w:val="nil"/>
              <w:right w:val="nil"/>
            </w:tcBorders>
            <w:vAlign w:val="center"/>
          </w:tcPr>
          <w:p w:rsidR="001C1803" w:rsidRDefault="001C1803">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截止时间：</w:t>
            </w:r>
            <w:smartTag w:uri="urn:schemas-microsoft-com:office:smarttags" w:element="chsdate">
              <w:smartTagPr>
                <w:attr w:name="IsROCDate" w:val="False"/>
                <w:attr w:name="IsLunarDate" w:val="False"/>
                <w:attr w:name="Day" w:val="31"/>
                <w:attr w:name="Month" w:val="12"/>
                <w:attr w:name="Year" w:val="2016"/>
              </w:smartTagP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smartTag>
            <w:r>
              <w:rPr>
                <w:rFonts w:ascii="宋体" w:hAnsi="宋体" w:cs="宋体"/>
                <w:kern w:val="0"/>
                <w:sz w:val="22"/>
              </w:rPr>
              <w:t xml:space="preserve">  </w:t>
            </w:r>
          </w:p>
        </w:tc>
      </w:tr>
      <w:tr w:rsidR="001C1803">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1C1803" w:rsidRDefault="001C1803">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1C1803" w:rsidRDefault="001C1803">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1C1803" w:rsidRDefault="001C1803">
            <w:pPr>
              <w:widowControl/>
              <w:jc w:val="center"/>
              <w:rPr>
                <w:rFonts w:ascii="宋体" w:cs="宋体"/>
                <w:b/>
                <w:bCs/>
                <w:kern w:val="0"/>
                <w:sz w:val="22"/>
              </w:rPr>
            </w:pPr>
            <w:r>
              <w:rPr>
                <w:rFonts w:ascii="宋体" w:hAnsi="宋体" w:cs="宋体" w:hint="eastAsia"/>
                <w:b/>
                <w:bCs/>
                <w:kern w:val="0"/>
                <w:sz w:val="22"/>
              </w:rPr>
              <w:t>价值（金额单位：万元）</w:t>
            </w:r>
          </w:p>
        </w:tc>
      </w:tr>
      <w:tr w:rsidR="001C1803">
        <w:trPr>
          <w:trHeight w:val="645"/>
        </w:trPr>
        <w:tc>
          <w:tcPr>
            <w:tcW w:w="5224" w:type="dxa"/>
            <w:tcBorders>
              <w:top w:val="nil"/>
              <w:left w:val="single" w:sz="4" w:space="0" w:color="auto"/>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347.98</w:t>
            </w:r>
          </w:p>
        </w:tc>
      </w:tr>
      <w:tr w:rsidR="001C1803">
        <w:trPr>
          <w:trHeight w:val="645"/>
        </w:trPr>
        <w:tc>
          <w:tcPr>
            <w:tcW w:w="5224" w:type="dxa"/>
            <w:tcBorders>
              <w:top w:val="nil"/>
              <w:left w:val="single" w:sz="4" w:space="0" w:color="auto"/>
              <w:bottom w:val="single" w:sz="4" w:space="0" w:color="auto"/>
              <w:right w:val="single" w:sz="4" w:space="0" w:color="auto"/>
            </w:tcBorders>
            <w:vAlign w:val="center"/>
          </w:tcPr>
          <w:p w:rsidR="001C1803" w:rsidRDefault="001C1803">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475</w:t>
            </w:r>
          </w:p>
        </w:tc>
        <w:tc>
          <w:tcPr>
            <w:tcW w:w="5103"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118.80</w:t>
            </w:r>
          </w:p>
        </w:tc>
      </w:tr>
      <w:tr w:rsidR="001C1803">
        <w:trPr>
          <w:trHeight w:val="645"/>
        </w:trPr>
        <w:tc>
          <w:tcPr>
            <w:tcW w:w="5224" w:type="dxa"/>
            <w:tcBorders>
              <w:top w:val="nil"/>
              <w:left w:val="single" w:sz="4" w:space="0" w:color="auto"/>
              <w:bottom w:val="single" w:sz="4" w:space="0" w:color="auto"/>
              <w:right w:val="single" w:sz="4" w:space="0" w:color="auto"/>
            </w:tcBorders>
            <w:vAlign w:val="center"/>
          </w:tcPr>
          <w:p w:rsidR="001C1803" w:rsidRDefault="001C1803">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475</w:t>
            </w:r>
          </w:p>
        </w:tc>
        <w:tc>
          <w:tcPr>
            <w:tcW w:w="5103"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118.80</w:t>
            </w:r>
          </w:p>
        </w:tc>
      </w:tr>
      <w:tr w:rsidR="001C1803">
        <w:trPr>
          <w:trHeight w:val="645"/>
        </w:trPr>
        <w:tc>
          <w:tcPr>
            <w:tcW w:w="5224" w:type="dxa"/>
            <w:tcBorders>
              <w:top w:val="nil"/>
              <w:left w:val="single" w:sz="4" w:space="0" w:color="auto"/>
              <w:bottom w:val="single" w:sz="4" w:space="0" w:color="auto"/>
              <w:right w:val="single" w:sz="4" w:space="0" w:color="auto"/>
            </w:tcBorders>
            <w:vAlign w:val="center"/>
          </w:tcPr>
          <w:p w:rsidR="001C1803" w:rsidRDefault="001C1803">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6</w:t>
            </w:r>
          </w:p>
        </w:tc>
        <w:tc>
          <w:tcPr>
            <w:tcW w:w="5103"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103.70</w:t>
            </w:r>
          </w:p>
        </w:tc>
      </w:tr>
      <w:tr w:rsidR="001C1803">
        <w:trPr>
          <w:trHeight w:val="645"/>
        </w:trPr>
        <w:tc>
          <w:tcPr>
            <w:tcW w:w="5224" w:type="dxa"/>
            <w:tcBorders>
              <w:top w:val="nil"/>
              <w:left w:val="single" w:sz="4" w:space="0" w:color="auto"/>
              <w:bottom w:val="single" w:sz="4" w:space="0" w:color="auto"/>
              <w:right w:val="single" w:sz="4" w:space="0" w:color="auto"/>
            </w:tcBorders>
            <w:vAlign w:val="center"/>
          </w:tcPr>
          <w:p w:rsidR="001C1803" w:rsidRDefault="001C1803">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p>
        </w:tc>
      </w:tr>
      <w:tr w:rsidR="001C1803">
        <w:trPr>
          <w:trHeight w:val="645"/>
        </w:trPr>
        <w:tc>
          <w:tcPr>
            <w:tcW w:w="5224" w:type="dxa"/>
            <w:tcBorders>
              <w:top w:val="nil"/>
              <w:left w:val="single" w:sz="4" w:space="0" w:color="auto"/>
              <w:bottom w:val="single" w:sz="4" w:space="0" w:color="auto"/>
              <w:right w:val="single" w:sz="4" w:space="0" w:color="auto"/>
            </w:tcBorders>
            <w:vAlign w:val="center"/>
          </w:tcPr>
          <w:p w:rsidR="001C1803" w:rsidRDefault="001C1803">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1C1803" w:rsidRDefault="001C1803">
            <w:pPr>
              <w:widowControl/>
              <w:jc w:val="center"/>
              <w:rPr>
                <w:rFonts w:ascii="宋体" w:cs="宋体"/>
                <w:kern w:val="0"/>
                <w:sz w:val="22"/>
              </w:rPr>
            </w:pPr>
            <w:r>
              <w:rPr>
                <w:rFonts w:ascii="宋体" w:hAnsi="宋体" w:cs="宋体"/>
                <w:kern w:val="0"/>
                <w:sz w:val="22"/>
              </w:rPr>
              <w:t>125.48</w:t>
            </w:r>
          </w:p>
        </w:tc>
      </w:tr>
    </w:tbl>
    <w:p w:rsidR="001C1803" w:rsidRDefault="001C1803">
      <w:pPr>
        <w:autoSpaceDE w:val="0"/>
        <w:autoSpaceDN w:val="0"/>
        <w:adjustRightInd w:val="0"/>
        <w:ind w:left="198" w:firstLineChars="200" w:firstLine="640"/>
        <w:jc w:val="left"/>
        <w:rPr>
          <w:rFonts w:ascii="黑体" w:eastAsia="黑体" w:hAnsi="黑体" w:cs="Times New Roman"/>
          <w:sz w:val="32"/>
          <w:szCs w:val="32"/>
        </w:rPr>
      </w:pPr>
    </w:p>
    <w:p w:rsidR="001C1803" w:rsidRDefault="001C1803">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1C1803" w:rsidRPr="00FF42A6" w:rsidRDefault="001C1803" w:rsidP="00FF42A6">
      <w:pPr>
        <w:autoSpaceDE w:val="0"/>
        <w:autoSpaceDN w:val="0"/>
        <w:adjustRightInd w:val="0"/>
        <w:ind w:leftChars="94" w:left="197" w:firstLineChars="200" w:firstLine="640"/>
        <w:jc w:val="left"/>
        <w:rPr>
          <w:rFonts w:ascii="仿宋" w:eastAsia="仿宋" w:hAnsi="仿宋"/>
          <w:sz w:val="32"/>
          <w:szCs w:val="32"/>
        </w:rPr>
      </w:pPr>
      <w:r w:rsidRPr="00FF42A6">
        <w:rPr>
          <w:rFonts w:ascii="仿宋" w:eastAsia="仿宋" w:hAnsi="仿宋"/>
          <w:sz w:val="32"/>
          <w:szCs w:val="32"/>
        </w:rPr>
        <w:t>1</w:t>
      </w:r>
      <w:r w:rsidRPr="00FF42A6">
        <w:rPr>
          <w:rFonts w:ascii="仿宋" w:eastAsia="仿宋" w:hAnsi="仿宋" w:hint="eastAsia"/>
          <w:sz w:val="32"/>
          <w:szCs w:val="32"/>
        </w:rPr>
        <w:t>、一般公共预算拨款收入：指市级财政当年拨付的资金。</w:t>
      </w:r>
    </w:p>
    <w:p w:rsidR="001C1803" w:rsidRPr="00FF42A6" w:rsidRDefault="001C1803" w:rsidP="00FF42A6">
      <w:pPr>
        <w:autoSpaceDE w:val="0"/>
        <w:autoSpaceDN w:val="0"/>
        <w:adjustRightInd w:val="0"/>
        <w:ind w:left="198"/>
        <w:jc w:val="left"/>
        <w:rPr>
          <w:rFonts w:ascii="仿宋" w:eastAsia="仿宋" w:hAnsi="仿宋"/>
          <w:sz w:val="32"/>
          <w:szCs w:val="32"/>
        </w:rPr>
      </w:pPr>
      <w:r w:rsidRPr="00FF42A6">
        <w:rPr>
          <w:rFonts w:ascii="仿宋" w:eastAsia="仿宋" w:hAnsi="仿宋"/>
          <w:sz w:val="32"/>
          <w:szCs w:val="32"/>
        </w:rPr>
        <w:t xml:space="preserve">    2</w:t>
      </w:r>
      <w:r w:rsidRPr="00FF42A6">
        <w:rPr>
          <w:rFonts w:ascii="仿宋" w:eastAsia="仿宋" w:hAnsi="仿宋" w:hint="eastAsia"/>
          <w:sz w:val="32"/>
          <w:szCs w:val="32"/>
        </w:rPr>
        <w:t>、事业收入：指事业单位开展专业业务活动及辅助活动所取得的收入。</w:t>
      </w:r>
    </w:p>
    <w:p w:rsidR="001C1803" w:rsidRPr="00FF42A6" w:rsidRDefault="001C1803" w:rsidP="00FF42A6">
      <w:pPr>
        <w:autoSpaceDE w:val="0"/>
        <w:autoSpaceDN w:val="0"/>
        <w:adjustRightInd w:val="0"/>
        <w:ind w:left="198"/>
        <w:jc w:val="left"/>
        <w:rPr>
          <w:rFonts w:ascii="仿宋" w:eastAsia="仿宋" w:hAnsi="仿宋"/>
          <w:sz w:val="32"/>
          <w:szCs w:val="32"/>
        </w:rPr>
      </w:pPr>
      <w:r w:rsidRPr="00FF42A6">
        <w:rPr>
          <w:rFonts w:ascii="仿宋" w:eastAsia="仿宋" w:hAnsi="仿宋"/>
          <w:sz w:val="32"/>
          <w:szCs w:val="32"/>
        </w:rPr>
        <w:t xml:space="preserve">    3</w:t>
      </w:r>
      <w:r w:rsidRPr="00FF42A6">
        <w:rPr>
          <w:rFonts w:ascii="仿宋" w:eastAsia="仿宋" w:hAnsi="仿宋" w:hint="eastAsia"/>
          <w:sz w:val="32"/>
          <w:szCs w:val="32"/>
        </w:rPr>
        <w:t>、其他收入：指除上述“财政拨款收入”、“事业收入”等以外的收入。主要是按规定动用的租房收入、存款利息收入等。</w:t>
      </w:r>
    </w:p>
    <w:p w:rsidR="001C1803" w:rsidRPr="00FF42A6" w:rsidRDefault="001C1803" w:rsidP="00FF42A6">
      <w:pPr>
        <w:autoSpaceDE w:val="0"/>
        <w:autoSpaceDN w:val="0"/>
        <w:adjustRightInd w:val="0"/>
        <w:ind w:left="198"/>
        <w:jc w:val="left"/>
        <w:rPr>
          <w:rFonts w:ascii="仿宋" w:eastAsia="仿宋" w:hAnsi="仿宋"/>
          <w:sz w:val="32"/>
          <w:szCs w:val="32"/>
        </w:rPr>
      </w:pPr>
      <w:r w:rsidRPr="00FF42A6">
        <w:rPr>
          <w:rFonts w:ascii="仿宋" w:eastAsia="仿宋" w:hAnsi="仿宋"/>
          <w:sz w:val="32"/>
          <w:szCs w:val="32"/>
        </w:rPr>
        <w:t xml:space="preserve">    4</w:t>
      </w:r>
      <w:r w:rsidRPr="00FF42A6">
        <w:rPr>
          <w:rFonts w:ascii="仿宋" w:eastAsia="仿宋" w:hAnsi="仿宋" w:hint="eastAsia"/>
          <w:sz w:val="32"/>
          <w:szCs w:val="32"/>
        </w:rPr>
        <w:t>、基本支出：指为保障机构正常运转、完成日常工作任务而发生的人员支出和公用支出。</w:t>
      </w:r>
    </w:p>
    <w:p w:rsidR="001C1803" w:rsidRPr="00FF42A6" w:rsidRDefault="001C1803" w:rsidP="00FF42A6">
      <w:pPr>
        <w:autoSpaceDE w:val="0"/>
        <w:autoSpaceDN w:val="0"/>
        <w:adjustRightInd w:val="0"/>
        <w:ind w:left="198"/>
        <w:jc w:val="left"/>
        <w:rPr>
          <w:rFonts w:ascii="仿宋" w:eastAsia="仿宋" w:hAnsi="仿宋"/>
          <w:sz w:val="32"/>
          <w:szCs w:val="32"/>
        </w:rPr>
      </w:pPr>
      <w:r w:rsidRPr="00FF42A6">
        <w:rPr>
          <w:rFonts w:ascii="仿宋" w:eastAsia="仿宋" w:hAnsi="仿宋"/>
          <w:sz w:val="32"/>
          <w:szCs w:val="32"/>
        </w:rPr>
        <w:t xml:space="preserve">    5</w:t>
      </w:r>
      <w:r w:rsidRPr="00FF42A6">
        <w:rPr>
          <w:rFonts w:ascii="仿宋" w:eastAsia="仿宋" w:hAnsi="仿宋" w:hint="eastAsia"/>
          <w:sz w:val="32"/>
          <w:szCs w:val="32"/>
        </w:rPr>
        <w:t>、项目支出：指在基本支出之外为完成特定行政任务和事业发展目标所发生的支出。</w:t>
      </w:r>
    </w:p>
    <w:p w:rsidR="001C1803" w:rsidRPr="00FF42A6" w:rsidRDefault="001C1803" w:rsidP="00FF42A6">
      <w:pPr>
        <w:autoSpaceDE w:val="0"/>
        <w:autoSpaceDN w:val="0"/>
        <w:adjustRightInd w:val="0"/>
        <w:ind w:left="198"/>
        <w:jc w:val="left"/>
        <w:rPr>
          <w:rFonts w:ascii="仿宋" w:eastAsia="仿宋" w:hAnsi="仿宋"/>
          <w:sz w:val="32"/>
          <w:szCs w:val="32"/>
        </w:rPr>
      </w:pPr>
      <w:r w:rsidRPr="00FF42A6">
        <w:rPr>
          <w:rFonts w:ascii="仿宋" w:eastAsia="仿宋" w:hAnsi="仿宋"/>
          <w:sz w:val="32"/>
          <w:szCs w:val="32"/>
        </w:rPr>
        <w:t xml:space="preserve">    6</w:t>
      </w:r>
      <w:r w:rsidRPr="00FF42A6">
        <w:rPr>
          <w:rFonts w:ascii="仿宋" w:eastAsia="仿宋" w:hAnsi="仿宋" w:hint="eastAsia"/>
          <w:sz w:val="32"/>
          <w:szCs w:val="32"/>
        </w:rPr>
        <w:t>、上缴上级支出：指下级单位上缴上级的支出。</w:t>
      </w:r>
    </w:p>
    <w:p w:rsidR="001C1803" w:rsidRPr="00FF42A6" w:rsidRDefault="001C1803" w:rsidP="00FF42A6">
      <w:pPr>
        <w:autoSpaceDE w:val="0"/>
        <w:autoSpaceDN w:val="0"/>
        <w:adjustRightInd w:val="0"/>
        <w:ind w:left="198"/>
        <w:jc w:val="left"/>
        <w:rPr>
          <w:rFonts w:ascii="仿宋" w:eastAsia="仿宋" w:hAnsi="仿宋"/>
          <w:sz w:val="32"/>
          <w:szCs w:val="32"/>
        </w:rPr>
      </w:pPr>
      <w:r w:rsidRPr="00FF42A6">
        <w:rPr>
          <w:rFonts w:ascii="仿宋" w:eastAsia="仿宋" w:hAnsi="仿宋"/>
          <w:sz w:val="32"/>
          <w:szCs w:val="32"/>
        </w:rPr>
        <w:t xml:space="preserve">    7</w:t>
      </w:r>
      <w:r w:rsidRPr="00FF42A6">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C1803" w:rsidRPr="00FF42A6" w:rsidRDefault="001C1803" w:rsidP="00FF42A6">
      <w:pPr>
        <w:autoSpaceDE w:val="0"/>
        <w:autoSpaceDN w:val="0"/>
        <w:adjustRightInd w:val="0"/>
        <w:ind w:left="198"/>
        <w:jc w:val="left"/>
        <w:rPr>
          <w:rFonts w:ascii="仿宋" w:eastAsia="仿宋" w:hAnsi="仿宋"/>
          <w:sz w:val="32"/>
          <w:szCs w:val="32"/>
        </w:rPr>
      </w:pPr>
      <w:r w:rsidRPr="00FF42A6">
        <w:rPr>
          <w:rFonts w:ascii="仿宋" w:eastAsia="仿宋" w:hAnsi="仿宋"/>
          <w:sz w:val="32"/>
          <w:szCs w:val="32"/>
        </w:rPr>
        <w:t xml:space="preserve">    8</w:t>
      </w:r>
      <w:r w:rsidRPr="00FF42A6">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C1803" w:rsidRDefault="001C1803">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九、其它需要说明的事项</w:t>
      </w:r>
    </w:p>
    <w:p w:rsidR="001C1803" w:rsidRDefault="001C1803">
      <w:pPr>
        <w:autoSpaceDE w:val="0"/>
        <w:autoSpaceDN w:val="0"/>
        <w:adjustRightInd w:val="0"/>
        <w:ind w:left="198" w:firstLineChars="200" w:firstLine="640"/>
        <w:jc w:val="left"/>
        <w:rPr>
          <w:rFonts w:ascii="仿宋" w:eastAsia="仿宋" w:hAnsi="仿宋"/>
          <w:sz w:val="32"/>
          <w:szCs w:val="32"/>
        </w:rPr>
      </w:pPr>
      <w:r>
        <w:rPr>
          <w:rFonts w:ascii="黑体" w:eastAsia="黑体" w:hAnsi="黑体" w:cs="Times New Roman"/>
          <w:sz w:val="32"/>
          <w:szCs w:val="32"/>
        </w:rPr>
        <w:t xml:space="preserve"> </w:t>
      </w:r>
      <w:r>
        <w:rPr>
          <w:rFonts w:ascii="仿宋" w:eastAsia="仿宋" w:hAnsi="仿宋" w:hint="eastAsia"/>
          <w:sz w:val="32"/>
          <w:szCs w:val="32"/>
        </w:rPr>
        <w:t>无其它需要说明的事项。</w:t>
      </w:r>
    </w:p>
    <w:sectPr w:rsidR="001C1803" w:rsidSect="0084477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书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1F2"/>
    <w:rsid w:val="000D1DC1"/>
    <w:rsid w:val="001211F2"/>
    <w:rsid w:val="00155F48"/>
    <w:rsid w:val="00180AB9"/>
    <w:rsid w:val="001C1803"/>
    <w:rsid w:val="002618D2"/>
    <w:rsid w:val="00265B91"/>
    <w:rsid w:val="0031242C"/>
    <w:rsid w:val="003405C9"/>
    <w:rsid w:val="003B5501"/>
    <w:rsid w:val="003C1EA1"/>
    <w:rsid w:val="00442A9E"/>
    <w:rsid w:val="00473D32"/>
    <w:rsid w:val="004E14F1"/>
    <w:rsid w:val="00520B7D"/>
    <w:rsid w:val="005C36B7"/>
    <w:rsid w:val="00603032"/>
    <w:rsid w:val="00637542"/>
    <w:rsid w:val="00713E8F"/>
    <w:rsid w:val="008353D1"/>
    <w:rsid w:val="00844775"/>
    <w:rsid w:val="0087023E"/>
    <w:rsid w:val="00A41BDD"/>
    <w:rsid w:val="00A46EDF"/>
    <w:rsid w:val="00B432EA"/>
    <w:rsid w:val="00B65E4E"/>
    <w:rsid w:val="00B67509"/>
    <w:rsid w:val="00C570FA"/>
    <w:rsid w:val="00CC19E5"/>
    <w:rsid w:val="00CE0A0D"/>
    <w:rsid w:val="00CE265A"/>
    <w:rsid w:val="00D24538"/>
    <w:rsid w:val="00D5561B"/>
    <w:rsid w:val="00DD2171"/>
    <w:rsid w:val="00E53BAE"/>
    <w:rsid w:val="00EA2755"/>
    <w:rsid w:val="00EB2C50"/>
    <w:rsid w:val="00F05884"/>
    <w:rsid w:val="00F06D88"/>
    <w:rsid w:val="00F93D30"/>
    <w:rsid w:val="00FB47BB"/>
    <w:rsid w:val="00FD0785"/>
    <w:rsid w:val="00FF42A6"/>
    <w:rsid w:val="1F030C77"/>
    <w:rsid w:val="39A646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75"/>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4775"/>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locked/>
    <w:rsid w:val="00844775"/>
    <w:rPr>
      <w:rFonts w:ascii="Times New Roman" w:eastAsia="宋体" w:hAnsi="Times New Roman" w:cs="Times New Roman"/>
      <w:sz w:val="18"/>
      <w:szCs w:val="18"/>
    </w:rPr>
  </w:style>
  <w:style w:type="paragraph" w:styleId="Header">
    <w:name w:val="header"/>
    <w:basedOn w:val="Normal"/>
    <w:link w:val="HeaderChar"/>
    <w:uiPriority w:val="99"/>
    <w:rsid w:val="00844775"/>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844775"/>
    <w:rPr>
      <w:rFonts w:ascii="Times New Roman" w:eastAsia="宋体" w:hAnsi="Times New Roman" w:cs="Times New Roman"/>
      <w:sz w:val="18"/>
      <w:szCs w:val="18"/>
    </w:rPr>
  </w:style>
  <w:style w:type="paragraph" w:styleId="TOC1">
    <w:name w:val="toc 1"/>
    <w:basedOn w:val="Normal"/>
    <w:next w:val="Normal"/>
    <w:uiPriority w:val="99"/>
    <w:rsid w:val="00844775"/>
    <w:rPr>
      <w:rFonts w:ascii="Times New Roman" w:hAnsi="Times New Roman" w:cs="Times New Roman"/>
      <w:szCs w:val="24"/>
    </w:rPr>
  </w:style>
  <w:style w:type="paragraph" w:styleId="TOC2">
    <w:name w:val="toc 2"/>
    <w:basedOn w:val="Normal"/>
    <w:next w:val="Normal"/>
    <w:uiPriority w:val="99"/>
    <w:rsid w:val="00844775"/>
    <w:pPr>
      <w:ind w:leftChars="200" w:left="420"/>
    </w:pPr>
    <w:rPr>
      <w:rFonts w:ascii="Times New Roman" w:hAnsi="Times New Roman" w:cs="Times New Roman"/>
      <w:szCs w:val="24"/>
    </w:rPr>
  </w:style>
  <w:style w:type="paragraph" w:customStyle="1" w:styleId="Default">
    <w:name w:val="Default"/>
    <w:uiPriority w:val="99"/>
    <w:rsid w:val="00FF42A6"/>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912</Words>
  <Characters>5200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dc:title>
  <dc:subject/>
  <dc:creator>guest</dc:creator>
  <cp:keywords/>
  <dc:description/>
  <cp:lastModifiedBy>微软中国</cp:lastModifiedBy>
  <cp:revision>8</cp:revision>
  <dcterms:created xsi:type="dcterms:W3CDTF">2017-06-26T03:23:00Z</dcterms:created>
  <dcterms:modified xsi:type="dcterms:W3CDTF">2017-04-21T09:22:00Z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